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DA5" w:rsidRDefault="006F2DA5" w:rsidP="006F2DA5">
      <w:pPr>
        <w:tabs>
          <w:tab w:val="left" w:pos="360"/>
        </w:tabs>
        <w:jc w:val="center"/>
        <w:rPr>
          <w:b/>
          <w:sz w:val="22"/>
          <w:szCs w:val="22"/>
          <w:lang w:val="lt-LT"/>
        </w:rPr>
      </w:pPr>
    </w:p>
    <w:p w:rsidR="006F2DA5" w:rsidRPr="00B643BD" w:rsidRDefault="006F2DA5" w:rsidP="006F2DA5">
      <w:pPr>
        <w:tabs>
          <w:tab w:val="left" w:pos="360"/>
        </w:tabs>
        <w:jc w:val="center"/>
        <w:rPr>
          <w:b/>
          <w:sz w:val="22"/>
          <w:szCs w:val="22"/>
          <w:lang w:val="lt-LT"/>
        </w:rPr>
      </w:pPr>
      <w:r w:rsidRPr="00B643BD">
        <w:rPr>
          <w:b/>
          <w:sz w:val="22"/>
          <w:szCs w:val="22"/>
          <w:lang w:val="lt-LT"/>
        </w:rPr>
        <w:t>II priedas</w:t>
      </w:r>
    </w:p>
    <w:p w:rsidR="006F2DA5" w:rsidRPr="00B643BD" w:rsidRDefault="006F2DA5" w:rsidP="006F2DA5">
      <w:pPr>
        <w:tabs>
          <w:tab w:val="left" w:pos="360"/>
        </w:tabs>
        <w:jc w:val="both"/>
        <w:rPr>
          <w:b/>
          <w:sz w:val="22"/>
          <w:szCs w:val="22"/>
          <w:lang w:val="lt-LT"/>
        </w:rPr>
      </w:pPr>
    </w:p>
    <w:p w:rsidR="006F2DA5" w:rsidRPr="00B643BD" w:rsidRDefault="006F2DA5" w:rsidP="006F2DA5">
      <w:pPr>
        <w:tabs>
          <w:tab w:val="left" w:pos="360"/>
        </w:tabs>
        <w:jc w:val="both"/>
        <w:rPr>
          <w:b/>
          <w:sz w:val="22"/>
          <w:szCs w:val="22"/>
          <w:lang w:val="lt-LT"/>
        </w:rPr>
      </w:pPr>
    </w:p>
    <w:p w:rsidR="006F2DA5" w:rsidRPr="00B643BD" w:rsidRDefault="006F2DA5" w:rsidP="006F2DA5">
      <w:pPr>
        <w:tabs>
          <w:tab w:val="left" w:pos="360"/>
        </w:tabs>
        <w:jc w:val="center"/>
        <w:rPr>
          <w:b/>
          <w:sz w:val="22"/>
          <w:szCs w:val="22"/>
          <w:lang w:val="lt-LT"/>
        </w:rPr>
      </w:pPr>
      <w:r w:rsidRPr="00B643BD">
        <w:rPr>
          <w:b/>
          <w:sz w:val="22"/>
          <w:szCs w:val="22"/>
          <w:lang w:val="lt-LT"/>
        </w:rPr>
        <w:t>BENDROSIOS SĄLYGOS</w:t>
      </w:r>
    </w:p>
    <w:p w:rsidR="006F2DA5" w:rsidRPr="00B643BD" w:rsidRDefault="006F2DA5" w:rsidP="006F2DA5">
      <w:pPr>
        <w:tabs>
          <w:tab w:val="left" w:pos="360"/>
        </w:tabs>
        <w:jc w:val="both"/>
        <w:rPr>
          <w:sz w:val="22"/>
          <w:szCs w:val="22"/>
          <w:lang w:val="lt-LT"/>
        </w:rPr>
      </w:pPr>
    </w:p>
    <w:p w:rsidR="006F2DA5" w:rsidRPr="00B643BD" w:rsidRDefault="006F2DA5" w:rsidP="006F2DA5">
      <w:pPr>
        <w:tabs>
          <w:tab w:val="left" w:pos="360"/>
        </w:tabs>
        <w:jc w:val="both"/>
        <w:rPr>
          <w:sz w:val="22"/>
          <w:szCs w:val="22"/>
          <w:lang w:val="lt-LT"/>
        </w:rPr>
      </w:pPr>
    </w:p>
    <w:p w:rsidR="006F2DA5" w:rsidRPr="00B643BD" w:rsidRDefault="006F2DA5" w:rsidP="006F2DA5">
      <w:pPr>
        <w:keepNext/>
        <w:jc w:val="both"/>
        <w:rPr>
          <w:b/>
          <w:sz w:val="22"/>
          <w:szCs w:val="22"/>
          <w:lang w:val="lt-LT"/>
        </w:rPr>
      </w:pPr>
      <w:r w:rsidRPr="00B643BD">
        <w:rPr>
          <w:b/>
          <w:sz w:val="22"/>
          <w:szCs w:val="22"/>
          <w:lang w:val="lt-LT"/>
        </w:rPr>
        <w:t>1 straipsnis. Atsakomybė</w:t>
      </w:r>
    </w:p>
    <w:p w:rsidR="006F2DA5" w:rsidRPr="00B643BD" w:rsidRDefault="006F2DA5" w:rsidP="006F2DA5">
      <w:pPr>
        <w:keepNext/>
        <w:jc w:val="both"/>
        <w:rPr>
          <w:sz w:val="22"/>
          <w:szCs w:val="22"/>
          <w:lang w:val="lt-LT"/>
        </w:rPr>
      </w:pPr>
    </w:p>
    <w:p w:rsidR="006F2DA5" w:rsidRPr="0033144D" w:rsidRDefault="006F2DA5" w:rsidP="006F2DA5">
      <w:pPr>
        <w:jc w:val="both"/>
        <w:rPr>
          <w:bCs/>
          <w:sz w:val="22"/>
          <w:szCs w:val="22"/>
          <w:lang w:val="lt-LT"/>
        </w:rPr>
      </w:pPr>
      <w:r w:rsidRPr="0033144D">
        <w:rPr>
          <w:bCs/>
          <w:sz w:val="22"/>
          <w:szCs w:val="22"/>
          <w:lang w:val="lt-LT"/>
        </w:rPr>
        <w:t>Kiekviena sutarties šalis atleidžia viena kitą nuo bet kokios civilinės atsakomybės dėl jos ar jos personalo patirtų nuostolių, susijusių su sutarties vykdymu, išskyrus tuos atvejus, kai tokių nuostolių kilo dėl tyčinio ir šiurkštaus kitos šalies ar jos personalo aplaidumo</w:t>
      </w:r>
      <w:r w:rsidRPr="0033144D">
        <w:rPr>
          <w:sz w:val="22"/>
          <w:szCs w:val="22"/>
          <w:lang w:val="lt-LT"/>
        </w:rPr>
        <w:t>.</w:t>
      </w:r>
    </w:p>
    <w:p w:rsidR="006F2DA5" w:rsidRPr="0033144D" w:rsidRDefault="006F2DA5" w:rsidP="006F2DA5">
      <w:pPr>
        <w:jc w:val="both"/>
        <w:rPr>
          <w:sz w:val="22"/>
          <w:szCs w:val="22"/>
          <w:lang w:val="lt-LT"/>
        </w:rPr>
      </w:pPr>
    </w:p>
    <w:p w:rsidR="006F2DA5" w:rsidRPr="0033144D" w:rsidRDefault="006F2DA5" w:rsidP="006F2DA5">
      <w:pPr>
        <w:jc w:val="both"/>
        <w:rPr>
          <w:sz w:val="22"/>
          <w:szCs w:val="22"/>
          <w:lang w:val="lt-LT"/>
        </w:rPr>
      </w:pPr>
      <w:r w:rsidRPr="0033144D">
        <w:rPr>
          <w:sz w:val="22"/>
          <w:szCs w:val="22"/>
          <w:lang w:val="lt-LT"/>
        </w:rPr>
        <w:t xml:space="preserve">Lietuvos Nacionalinė agentūra arba Europos Komisija ar jos personalas nelaikomi atsakingais, jei būtų gautas reikalavimas pagal šią sutartį atlyginti žalą, patirtą mobilumo laikotarpiu. Taigi, Lietuvos Nacionalinė agentūra arba Europos Komisija netenkins jokių kartu su minėtu reikalavimu gautų prašymų atlyginti žalą. </w:t>
      </w:r>
    </w:p>
    <w:p w:rsidR="006F2DA5" w:rsidRPr="0033144D" w:rsidRDefault="006F2DA5" w:rsidP="006F2DA5">
      <w:pPr>
        <w:tabs>
          <w:tab w:val="left" w:pos="360"/>
        </w:tabs>
        <w:jc w:val="both"/>
        <w:rPr>
          <w:sz w:val="22"/>
          <w:szCs w:val="22"/>
          <w:lang w:val="lt-LT"/>
        </w:rPr>
      </w:pPr>
    </w:p>
    <w:p w:rsidR="006F2DA5" w:rsidRPr="0033144D" w:rsidRDefault="006F2DA5" w:rsidP="006F2DA5">
      <w:pPr>
        <w:keepNext/>
        <w:jc w:val="both"/>
        <w:rPr>
          <w:b/>
          <w:sz w:val="22"/>
          <w:szCs w:val="22"/>
          <w:lang w:val="lt-LT"/>
        </w:rPr>
      </w:pPr>
      <w:r w:rsidRPr="0033144D">
        <w:rPr>
          <w:b/>
          <w:sz w:val="22"/>
          <w:szCs w:val="22"/>
          <w:lang w:val="lt-LT"/>
        </w:rPr>
        <w:t>2 straipsnis. Sutarties nutraukimas</w:t>
      </w:r>
    </w:p>
    <w:p w:rsidR="006F2DA5" w:rsidRPr="0033144D" w:rsidRDefault="006F2DA5" w:rsidP="006F2DA5">
      <w:pPr>
        <w:jc w:val="both"/>
        <w:rPr>
          <w:sz w:val="22"/>
          <w:szCs w:val="22"/>
          <w:lang w:val="lt-LT"/>
        </w:rPr>
      </w:pPr>
    </w:p>
    <w:p w:rsidR="006F2DA5" w:rsidRPr="0033144D" w:rsidRDefault="006F2DA5" w:rsidP="006F2DA5">
      <w:pPr>
        <w:jc w:val="both"/>
        <w:rPr>
          <w:sz w:val="22"/>
          <w:szCs w:val="22"/>
          <w:lang w:val="lt-LT"/>
        </w:rPr>
      </w:pPr>
      <w:r w:rsidRPr="0033144D">
        <w:rPr>
          <w:sz w:val="22"/>
          <w:szCs w:val="22"/>
          <w:lang w:val="lt-LT"/>
        </w:rPr>
        <w:t>Dalyviui nevykdant bet kurių su šia sutartimi susijusių įsipareigojimų ir neatsižvelgiant į pasekmes, pagal galiojančius teisės aktus Institucija turi teisę nutraukti arba anuliuoti sutartį be jokių tolesnių teisinių formalumų, jeigu Dalyvis nesiima jokių veiksmų per vieną mėnesį nuo pranešimo registruotu paštu gavimo dienos.</w:t>
      </w:r>
    </w:p>
    <w:p w:rsidR="006F2DA5" w:rsidRPr="0033144D" w:rsidRDefault="006F2DA5" w:rsidP="006F2DA5">
      <w:pPr>
        <w:jc w:val="both"/>
        <w:rPr>
          <w:sz w:val="22"/>
          <w:szCs w:val="22"/>
          <w:lang w:val="lt-LT"/>
        </w:rPr>
      </w:pPr>
    </w:p>
    <w:p w:rsidR="006F2DA5" w:rsidRPr="0033144D" w:rsidRDefault="006F2DA5" w:rsidP="006F2DA5">
      <w:pPr>
        <w:jc w:val="both"/>
        <w:rPr>
          <w:sz w:val="22"/>
          <w:szCs w:val="22"/>
          <w:lang w:val="lt-LT"/>
        </w:rPr>
      </w:pPr>
      <w:r w:rsidRPr="0033144D">
        <w:rPr>
          <w:bCs/>
          <w:sz w:val="22"/>
          <w:szCs w:val="22"/>
          <w:lang w:val="lt-LT"/>
        </w:rPr>
        <w:t>Jei Dalyvis nutraukia sutartį nepasibaigus jos galiojimo terminui arba nesilaiko sutarties sąlygų, jis (ji) privalo grąžinti jam (jai) jau išmokėtą dotaciją, nebent būtų kitaip susitarta su siunčiančia organizacija.</w:t>
      </w:r>
    </w:p>
    <w:p w:rsidR="006F2DA5" w:rsidRPr="0033144D" w:rsidRDefault="006F2DA5" w:rsidP="006F2DA5">
      <w:pPr>
        <w:jc w:val="both"/>
        <w:rPr>
          <w:sz w:val="22"/>
          <w:szCs w:val="22"/>
          <w:lang w:val="lt-LT"/>
        </w:rPr>
      </w:pPr>
    </w:p>
    <w:p w:rsidR="006F2DA5" w:rsidRPr="0033144D" w:rsidRDefault="006F2DA5" w:rsidP="006F2DA5">
      <w:pPr>
        <w:jc w:val="both"/>
        <w:rPr>
          <w:sz w:val="22"/>
          <w:szCs w:val="22"/>
          <w:lang w:val="lt-LT"/>
        </w:rPr>
      </w:pPr>
      <w:r w:rsidRPr="0033144D">
        <w:rPr>
          <w:bCs/>
          <w:sz w:val="22"/>
          <w:szCs w:val="22"/>
          <w:lang w:val="lt-LT"/>
        </w:rPr>
        <w:t>Jei Dalyvis sutartį nutraukia dėl nenugalimosios jėgos (</w:t>
      </w:r>
      <w:r w:rsidRPr="0033144D">
        <w:rPr>
          <w:bCs/>
          <w:i/>
          <w:sz w:val="22"/>
          <w:szCs w:val="22"/>
          <w:lang w:val="lt-LT"/>
        </w:rPr>
        <w:t>force majeure</w:t>
      </w:r>
      <w:r w:rsidRPr="0033144D">
        <w:rPr>
          <w:bCs/>
          <w:sz w:val="22"/>
          <w:szCs w:val="22"/>
          <w:lang w:val="lt-LT"/>
        </w:rPr>
        <w:t xml:space="preserve">) aplinkybių, t. y. nenumatytos ir neįprastos situacijos ar įvykio, kurių Dalyvis negali kontroliuoti ir kurie nepriklauso nuo Dalyvio klaidos ar aplaidumo, Dalyvis turi teisę gauti dotacijos dalį, atitinkančią faktinį mobilumo laikotarpį, apibrėžtą </w:t>
      </w:r>
      <w:r w:rsidRPr="0033144D">
        <w:rPr>
          <w:sz w:val="22"/>
          <w:szCs w:val="22"/>
          <w:lang w:val="lt-LT"/>
        </w:rPr>
        <w:t>2.2 straipsnyje. Likusios lėšos privalo būti grąžintos, nebent būtų kitaip susitarta su siunčiančia organizacija.</w:t>
      </w:r>
    </w:p>
    <w:p w:rsidR="006F2DA5" w:rsidRPr="0033144D" w:rsidRDefault="006F2DA5" w:rsidP="006F2DA5">
      <w:pPr>
        <w:jc w:val="both"/>
        <w:rPr>
          <w:sz w:val="22"/>
          <w:szCs w:val="22"/>
          <w:lang w:val="lt-LT"/>
        </w:rPr>
      </w:pPr>
    </w:p>
    <w:p w:rsidR="006F2DA5" w:rsidRPr="0033144D" w:rsidRDefault="006F2DA5" w:rsidP="006F2DA5">
      <w:pPr>
        <w:jc w:val="both"/>
        <w:rPr>
          <w:b/>
          <w:sz w:val="22"/>
          <w:szCs w:val="22"/>
          <w:lang w:val="lt-LT"/>
        </w:rPr>
      </w:pPr>
      <w:r w:rsidRPr="0033144D">
        <w:rPr>
          <w:b/>
          <w:sz w:val="22"/>
          <w:szCs w:val="22"/>
          <w:lang w:val="lt-LT"/>
        </w:rPr>
        <w:t>3 straipsnis. Duomenų apsauga</w:t>
      </w:r>
    </w:p>
    <w:p w:rsidR="006F2DA5" w:rsidRPr="0033144D" w:rsidRDefault="006F2DA5" w:rsidP="006F2DA5">
      <w:pPr>
        <w:jc w:val="both"/>
        <w:rPr>
          <w:b/>
          <w:sz w:val="22"/>
          <w:szCs w:val="22"/>
          <w:lang w:val="lt-LT"/>
        </w:rPr>
      </w:pPr>
    </w:p>
    <w:p w:rsidR="006F2DA5" w:rsidRPr="0033144D" w:rsidRDefault="006F2DA5" w:rsidP="006F2DA5">
      <w:pPr>
        <w:jc w:val="both"/>
        <w:rPr>
          <w:sz w:val="22"/>
          <w:szCs w:val="22"/>
          <w:lang w:val="lt-LT"/>
        </w:rPr>
      </w:pPr>
      <w:r w:rsidRPr="0033144D">
        <w:rPr>
          <w:bCs/>
          <w:sz w:val="22"/>
          <w:szCs w:val="22"/>
          <w:lang w:val="lt-LT"/>
        </w:rPr>
        <w:t xml:space="preserve">Visa sutartyje nurodyta asmeninė informacija privalo būti tvarkoma pagal Europos Parlamento ir Tarybos reglamentą (EB) Nr. 45/2001 dėl asmenų </w:t>
      </w:r>
      <w:r w:rsidRPr="0033144D">
        <w:rPr>
          <w:bCs/>
          <w:sz w:val="22"/>
          <w:szCs w:val="22"/>
          <w:lang w:val="lt-LT"/>
        </w:rPr>
        <w:lastRenderedPageBreak/>
        <w:t>apsaugos Bendrijos institucijoms ir įstaigoms tvarkant asmens duomenis ir tokių duomenų laisvo judėjimo</w:t>
      </w:r>
      <w:r w:rsidRPr="0033144D">
        <w:rPr>
          <w:sz w:val="22"/>
          <w:szCs w:val="22"/>
          <w:lang w:val="lt-LT"/>
        </w:rPr>
        <w:t>. Šios sutarties įgyvendinimo ir pratęsimo tikslais t</w:t>
      </w:r>
      <w:r w:rsidRPr="0033144D">
        <w:rPr>
          <w:bCs/>
          <w:sz w:val="22"/>
          <w:szCs w:val="22"/>
          <w:lang w:val="lt-LT"/>
        </w:rPr>
        <w:t>okius duomenis gali tvarkyti tik siunčianti institucija, Nacionalinė agentūra ir Europos Komisija</w:t>
      </w:r>
      <w:r w:rsidRPr="0033144D">
        <w:rPr>
          <w:sz w:val="22"/>
          <w:szCs w:val="22"/>
          <w:lang w:val="lt-LT"/>
        </w:rPr>
        <w:t xml:space="preserve">, neribojant galimybės pateikti šiuos duomenis institucijoms, atsakingoms už patikrinimą ir auditą pagal ES teisės aktus </w:t>
      </w:r>
      <w:r w:rsidRPr="0033144D">
        <w:rPr>
          <w:bCs/>
          <w:sz w:val="22"/>
          <w:szCs w:val="22"/>
          <w:lang w:val="lt-LT"/>
        </w:rPr>
        <w:t xml:space="preserve">(Europos Audito Rūmams ir </w:t>
      </w:r>
      <w:r w:rsidRPr="0033144D">
        <w:rPr>
          <w:sz w:val="22"/>
          <w:szCs w:val="22"/>
          <w:lang w:val="lt-LT"/>
        </w:rPr>
        <w:t>Europos kovos su sukčiavimu biurui (OLAF).</w:t>
      </w:r>
    </w:p>
    <w:p w:rsidR="006F2DA5" w:rsidRPr="0033144D" w:rsidRDefault="006F2DA5" w:rsidP="006F2DA5">
      <w:pPr>
        <w:jc w:val="both"/>
        <w:rPr>
          <w:sz w:val="22"/>
          <w:szCs w:val="22"/>
          <w:lang w:val="lt-LT"/>
        </w:rPr>
      </w:pPr>
    </w:p>
    <w:p w:rsidR="006F2DA5" w:rsidRPr="0033144D" w:rsidRDefault="006F2DA5" w:rsidP="006F2DA5">
      <w:pPr>
        <w:jc w:val="both"/>
        <w:rPr>
          <w:sz w:val="22"/>
          <w:szCs w:val="22"/>
          <w:lang w:val="lt-LT"/>
        </w:rPr>
      </w:pPr>
      <w:r w:rsidRPr="0033144D">
        <w:rPr>
          <w:sz w:val="22"/>
          <w:szCs w:val="22"/>
          <w:lang w:val="lt-LT"/>
        </w:rPr>
        <w:t>Pateikęs prašymą raštu, Dalyvis gali susipažinti su savo asmens duomenimis ir ištaisyti netikslią ar nepilną informaciją. Visus su asmens duomenų tvarkymu susijusius klausimus sprendžia siunčianti institucija ir (arba) Nacionalinė agentūra. Dėl netinkamo siunčiančios institucijos ir (arba) Nacionalinės agentūros atliekamo asmens duomenų tvarkymo Dalyvis gali pateikti skundą [nacionalinei duomenų apsaugos priežiūros institucijai] arba kreiptis į Europos duomenų apsaugos priežiūros pareigūną, jei šiuos duomenis netinkamai tvarko Europos Komisija.</w:t>
      </w:r>
    </w:p>
    <w:p w:rsidR="006F2DA5" w:rsidRPr="0033144D" w:rsidRDefault="006F2DA5" w:rsidP="006F2DA5">
      <w:pPr>
        <w:jc w:val="both"/>
        <w:rPr>
          <w:sz w:val="22"/>
          <w:szCs w:val="22"/>
          <w:lang w:val="lt-LT"/>
        </w:rPr>
      </w:pPr>
    </w:p>
    <w:p w:rsidR="006F2DA5" w:rsidRPr="0033144D" w:rsidRDefault="006F2DA5" w:rsidP="006F2DA5">
      <w:pPr>
        <w:jc w:val="both"/>
        <w:rPr>
          <w:sz w:val="22"/>
          <w:szCs w:val="22"/>
          <w:lang w:val="lt-LT"/>
        </w:rPr>
      </w:pPr>
      <w:r w:rsidRPr="0033144D">
        <w:rPr>
          <w:b/>
          <w:sz w:val="22"/>
          <w:szCs w:val="22"/>
          <w:lang w:val="lt-LT"/>
        </w:rPr>
        <w:t>4 straipsnis. Patikrinimai ir auditas</w:t>
      </w:r>
    </w:p>
    <w:p w:rsidR="006F2DA5" w:rsidRPr="0033144D" w:rsidRDefault="006F2DA5" w:rsidP="006F2DA5">
      <w:pPr>
        <w:jc w:val="both"/>
        <w:rPr>
          <w:sz w:val="22"/>
          <w:szCs w:val="22"/>
          <w:lang w:val="lt-LT"/>
        </w:rPr>
      </w:pPr>
    </w:p>
    <w:p w:rsidR="006F2DA5" w:rsidRPr="0033144D" w:rsidRDefault="006F2DA5" w:rsidP="006F2DA5">
      <w:pPr>
        <w:jc w:val="both"/>
        <w:rPr>
          <w:sz w:val="22"/>
          <w:szCs w:val="22"/>
          <w:lang w:val="lt-LT"/>
        </w:rPr>
        <w:sectPr w:rsidR="006F2DA5" w:rsidRPr="0033144D" w:rsidSect="006F2DA5">
          <w:headerReference w:type="default" r:id="rId6"/>
          <w:footerReference w:type="default" r:id="rId7"/>
          <w:pgSz w:w="11906" w:h="16838"/>
          <w:pgMar w:top="1440" w:right="1134" w:bottom="993" w:left="1134" w:header="720" w:footer="720" w:gutter="0"/>
          <w:cols w:num="2" w:space="720" w:equalWidth="0">
            <w:col w:w="4465" w:space="708"/>
            <w:col w:w="4465"/>
          </w:cols>
        </w:sectPr>
      </w:pPr>
      <w:r w:rsidRPr="0033144D">
        <w:rPr>
          <w:sz w:val="22"/>
          <w:szCs w:val="22"/>
          <w:lang w:val="lt-LT"/>
        </w:rPr>
        <w:t>Sutarties šalys įsipareigoja teikti bet kokią išsamią informaciją, kurios prašo Europos Komisija, Lietuvos Nacionalinė agentūra arba bet kuri kita Europos Komisijos ar Lietuvos Nacionalinės agentūros įgaliota išorės įstaiga, kad galėtų patikrinti, ar laikomasi mobilumo laikotarpio ir šios sutarties nuostat</w:t>
      </w:r>
      <w:r>
        <w:rPr>
          <w:sz w:val="22"/>
          <w:szCs w:val="22"/>
          <w:lang w:val="lt-LT"/>
        </w:rPr>
        <w:t>ų.</w:t>
      </w:r>
    </w:p>
    <w:p w:rsidR="00590B05" w:rsidRDefault="00590B05" w:rsidP="006F2DA5">
      <w:bookmarkStart w:id="0" w:name="_GoBack"/>
      <w:bookmarkEnd w:id="0"/>
    </w:p>
    <w:sectPr w:rsidR="00590B05" w:rsidSect="006F2DA5">
      <w:headerReference w:type="default" r:id="rId8"/>
      <w:footerReference w:type="default" r:id="rId9"/>
      <w:pgSz w:w="11906" w:h="16838" w:code="9"/>
      <w:pgMar w:top="568" w:right="567" w:bottom="0"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DA5" w:rsidRDefault="006F2DA5" w:rsidP="006F2DA5">
      <w:r>
        <w:separator/>
      </w:r>
    </w:p>
  </w:endnote>
  <w:endnote w:type="continuationSeparator" w:id="0">
    <w:p w:rsidR="006F2DA5" w:rsidRDefault="006F2DA5" w:rsidP="006F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3BD" w:rsidRDefault="006F2DA5" w:rsidP="006F2DA5">
    <w:pPr>
      <w:pStyle w:val="Porat"/>
      <w:framePr w:wrap="auto" w:vAnchor="text" w:hAnchor="margin" w:xAlign="right" w:y="1"/>
      <w:jc w:val="both"/>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13B" w:rsidRDefault="006F2DA5">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DA5" w:rsidRDefault="006F2DA5" w:rsidP="006F2DA5">
      <w:r>
        <w:separator/>
      </w:r>
    </w:p>
  </w:footnote>
  <w:footnote w:type="continuationSeparator" w:id="0">
    <w:p w:rsidR="006F2DA5" w:rsidRDefault="006F2DA5" w:rsidP="006F2D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3BD" w:rsidRPr="00FE149C" w:rsidRDefault="006F2DA5" w:rsidP="0061681E">
    <w:pPr>
      <w:pStyle w:val="Antrats"/>
    </w:pPr>
    <w:r>
      <w:rPr>
        <w:b/>
        <w:noProof/>
        <w:sz w:val="22"/>
        <w:szCs w:val="22"/>
        <w:lang w:val="lt-LT" w:eastAsia="lt-LT"/>
      </w:rPr>
      <w:drawing>
        <wp:inline distT="0" distB="0" distL="0" distR="0" wp14:anchorId="15120682" wp14:editId="6F906325">
          <wp:extent cx="1390650" cy="400050"/>
          <wp:effectExtent l="0" t="0" r="0" b="0"/>
          <wp:docPr id="12" name="Paveikslėlis 12" descr="Erasmus+_vect_POS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_vect_POS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400050"/>
                  </a:xfrm>
                  <a:prstGeom prst="rect">
                    <a:avLst/>
                  </a:prstGeom>
                  <a:noFill/>
                  <a:ln>
                    <a:noFill/>
                  </a:ln>
                </pic:spPr>
              </pic:pic>
            </a:graphicData>
          </a:graphic>
        </wp:inline>
      </w:drawing>
    </w:r>
    <w:r>
      <w:rPr>
        <w:b/>
        <w:noProof/>
        <w:sz w:val="22"/>
        <w:szCs w:val="22"/>
        <w:lang w:val="lt-LT" w:eastAsia="lt-LT"/>
      </w:rPr>
      <w:t xml:space="preserve">                                                                                                                 </w:t>
    </w:r>
    <w:r>
      <w:rPr>
        <w:b/>
        <w:noProof/>
        <w:sz w:val="22"/>
        <w:szCs w:val="22"/>
        <w:lang w:val="lt-LT" w:eastAsia="lt-LT"/>
      </w:rPr>
      <w:drawing>
        <wp:inline distT="0" distB="0" distL="0" distR="0" wp14:anchorId="30EB9DE8" wp14:editId="5A15894C">
          <wp:extent cx="600075" cy="600075"/>
          <wp:effectExtent l="0" t="0" r="9525" b="9525"/>
          <wp:docPr id="13" name="Paveikslėlis 13" descr="LMTA logo juodai bal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TA logo juodai balt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BD" w:rsidRPr="006F2DA5" w:rsidRDefault="006F2DA5" w:rsidP="006F2DA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A5"/>
    <w:rsid w:val="00590B05"/>
    <w:rsid w:val="006F2D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FAC8E"/>
  <w15:chartTrackingRefBased/>
  <w15:docId w15:val="{73096379-059E-4155-A625-F3F5D21F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F2DA5"/>
    <w:pPr>
      <w:spacing w:after="0" w:line="240" w:lineRule="auto"/>
    </w:pPr>
    <w:rPr>
      <w:rFonts w:ascii="Times New Roman" w:eastAsia="Times New Roman" w:hAnsi="Times New Roman" w:cs="Times New Roman"/>
      <w:sz w:val="24"/>
      <w:szCs w:val="24"/>
      <w:lang w:val="en-GB"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6F2DA5"/>
    <w:pPr>
      <w:tabs>
        <w:tab w:val="center" w:pos="4536"/>
        <w:tab w:val="right" w:pos="9072"/>
      </w:tabs>
    </w:pPr>
  </w:style>
  <w:style w:type="character" w:customStyle="1" w:styleId="AntratsDiagrama">
    <w:name w:val="Antraštės Diagrama"/>
    <w:basedOn w:val="Numatytasispastraiposriftas"/>
    <w:link w:val="Antrats"/>
    <w:rsid w:val="006F2DA5"/>
    <w:rPr>
      <w:rFonts w:ascii="Times New Roman" w:eastAsia="Times New Roman" w:hAnsi="Times New Roman" w:cs="Times New Roman"/>
      <w:sz w:val="24"/>
      <w:szCs w:val="24"/>
      <w:lang w:val="en-GB" w:eastAsia="en-GB"/>
    </w:rPr>
  </w:style>
  <w:style w:type="paragraph" w:styleId="Porat">
    <w:name w:val="footer"/>
    <w:basedOn w:val="prastasis"/>
    <w:link w:val="PoratDiagrama"/>
    <w:rsid w:val="006F2DA5"/>
    <w:pPr>
      <w:tabs>
        <w:tab w:val="center" w:pos="4536"/>
        <w:tab w:val="right" w:pos="9072"/>
      </w:tabs>
    </w:pPr>
  </w:style>
  <w:style w:type="character" w:customStyle="1" w:styleId="PoratDiagrama">
    <w:name w:val="Poraštė Diagrama"/>
    <w:basedOn w:val="Numatytasispastraiposriftas"/>
    <w:link w:val="Porat"/>
    <w:rsid w:val="006F2DA5"/>
    <w:rPr>
      <w:rFonts w:ascii="Times New Roman" w:eastAsia="Times New Roman" w:hAnsi="Times New Roman" w:cs="Times New Roman"/>
      <w:sz w:val="24"/>
      <w:szCs w:val="24"/>
      <w:lang w:val="en-GB" w:eastAsia="en-GB"/>
    </w:rPr>
  </w:style>
  <w:style w:type="character" w:styleId="Puslapionumeris">
    <w:name w:val="page number"/>
    <w:rsid w:val="006F2D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2034</Words>
  <Characters>1160</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Rimšaitė</dc:creator>
  <cp:keywords/>
  <dc:description/>
  <cp:lastModifiedBy>Rima Rimšaitė</cp:lastModifiedBy>
  <cp:revision>1</cp:revision>
  <dcterms:created xsi:type="dcterms:W3CDTF">2020-03-03T09:37:00Z</dcterms:created>
  <dcterms:modified xsi:type="dcterms:W3CDTF">2020-03-03T09:40:00Z</dcterms:modified>
</cp:coreProperties>
</file>