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5E2E" w14:textId="77777777" w:rsidR="00A164E1" w:rsidRPr="002642D9" w:rsidRDefault="00002968" w:rsidP="002642D9">
      <w:pPr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30DA" wp14:editId="7DF713C0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DB6EC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6EC1E755" wp14:editId="1FD491FB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3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0ABDB6EC" w14:textId="77777777"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6EC1E755" wp14:editId="1FD491FB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2642D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B39C899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22D19723" w14:textId="77777777" w:rsidR="002642D9" w:rsidRDefault="002642D9">
      <w:pPr>
        <w:rPr>
          <w:rFonts w:asciiTheme="majorHAnsi" w:hAnsiTheme="majorHAnsi"/>
          <w:lang w:val="lt-LT"/>
        </w:rPr>
      </w:pPr>
    </w:p>
    <w:p w14:paraId="5D9FCF70" w14:textId="77777777" w:rsidR="002642D9" w:rsidRDefault="002642D9">
      <w:pPr>
        <w:rPr>
          <w:rFonts w:asciiTheme="majorHAnsi" w:hAnsiTheme="majorHAnsi"/>
          <w:lang w:val="lt-LT"/>
        </w:rPr>
      </w:pPr>
    </w:p>
    <w:p w14:paraId="56E5DE97" w14:textId="77777777" w:rsidR="00AA71DB" w:rsidRDefault="00AA71DB">
      <w:pPr>
        <w:rPr>
          <w:rFonts w:asciiTheme="majorHAnsi" w:hAnsiTheme="majorHAnsi"/>
          <w:lang w:val="lt-LT"/>
        </w:rPr>
      </w:pPr>
    </w:p>
    <w:p w14:paraId="4B993E11" w14:textId="77777777" w:rsidR="002642D9" w:rsidRPr="001E69B3" w:rsidRDefault="002642D9">
      <w:pPr>
        <w:rPr>
          <w:rFonts w:ascii="Times New Roman" w:hAnsi="Times New Roman" w:cs="Times New Roman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 xml:space="preserve">Meno doktorantūra, </w:t>
      </w:r>
      <w:r w:rsidR="00CC4254" w:rsidRPr="001E69B3">
        <w:rPr>
          <w:rFonts w:ascii="Times New Roman" w:hAnsi="Times New Roman" w:cs="Times New Roman"/>
          <w:lang w:val="lt-LT"/>
        </w:rPr>
        <w:t>Muzika</w:t>
      </w:r>
    </w:p>
    <w:p w14:paraId="50EEEBA4" w14:textId="32AC325A" w:rsidR="002642D9" w:rsidRPr="0009190B" w:rsidRDefault="002642D9">
      <w:pPr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1E69B3">
        <w:rPr>
          <w:rFonts w:asciiTheme="majorHAnsi" w:hAnsiTheme="majorHAnsi"/>
          <w:b/>
          <w:lang w:val="lt-LT"/>
        </w:rPr>
        <w:t>Interpretacijos tyrimai ir kritika</w:t>
      </w:r>
    </w:p>
    <w:p w14:paraId="78D2C7C5" w14:textId="6EBA54DB" w:rsidR="002642D9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D40A4">
        <w:rPr>
          <w:rFonts w:asciiTheme="majorHAnsi" w:hAnsiTheme="majorHAnsi"/>
          <w:b/>
          <w:lang w:val="lt-LT"/>
        </w:rPr>
        <w:t>8</w:t>
      </w:r>
    </w:p>
    <w:p w14:paraId="4946BE90" w14:textId="71D1E52A" w:rsidR="006467A1" w:rsidRPr="0009190B" w:rsidRDefault="006467A1">
      <w:pPr>
        <w:rPr>
          <w:rFonts w:cstheme="minorHAnsi"/>
          <w:b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1E69B3">
        <w:rPr>
          <w:rFonts w:asciiTheme="majorHAnsi" w:hAnsiTheme="majorHAnsi"/>
          <w:b/>
          <w:lang w:val="lt-LT"/>
        </w:rPr>
        <w:t>lietuvių k.</w:t>
      </w:r>
    </w:p>
    <w:p w14:paraId="3A0966AA" w14:textId="09D6CD73" w:rsidR="002642D9" w:rsidRPr="0009190B" w:rsidRDefault="002642D9" w:rsidP="00CC4254">
      <w:pPr>
        <w:spacing w:after="360"/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Dėstytojas: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1E69B3">
        <w:rPr>
          <w:rFonts w:asciiTheme="majorHAnsi" w:hAnsiTheme="majorHAnsi"/>
          <w:b/>
          <w:lang w:val="lt-LT"/>
        </w:rPr>
        <w:t>doc. dr. Lina Navickaitė-Martinelli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14:paraId="4498162D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15B4651F" w14:textId="77777777" w:rsidR="00AA71DB" w:rsidRPr="00002968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14:paraId="66CAF440" w14:textId="77777777" w:rsidTr="00165939">
        <w:tc>
          <w:tcPr>
            <w:tcW w:w="9322" w:type="dxa"/>
          </w:tcPr>
          <w:p w14:paraId="7B0415F3" w14:textId="50F13DC7" w:rsidR="002D40A4" w:rsidRPr="004A49D2" w:rsidRDefault="002D40A4" w:rsidP="002D40A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Dalyko „Interpretacijos tyrimai ir kritika“</w:t>
            </w:r>
            <w:r w:rsidR="00D568BC" w:rsidRPr="004A49D2">
              <w:rPr>
                <w:rFonts w:ascii="Times New Roman" w:hAnsi="Times New Roman" w:cs="Times New Roman"/>
              </w:rPr>
              <w:t xml:space="preserve"> turinys 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skirtas </w:t>
            </w:r>
            <w:r w:rsidR="00D568BC" w:rsidRPr="004A49D2">
              <w:rPr>
                <w:rFonts w:ascii="Times New Roman" w:hAnsi="Times New Roman" w:cs="Times New Roman"/>
              </w:rPr>
              <w:t>p</w:t>
            </w:r>
            <w:r w:rsidRPr="004A49D2">
              <w:rPr>
                <w:rFonts w:ascii="Times New Roman" w:hAnsi="Times New Roman" w:cs="Times New Roman"/>
                <w:lang w:val="lt-LT"/>
              </w:rPr>
              <w:t>er</w:t>
            </w:r>
            <w:r w:rsidR="00D568BC" w:rsidRPr="004A49D2">
              <w:rPr>
                <w:rFonts w:ascii="Times New Roman" w:hAnsi="Times New Roman" w:cs="Times New Roman"/>
              </w:rPr>
              <w:t xml:space="preserve">teikti 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doktorantams </w:t>
            </w:r>
            <w:r w:rsidR="00D568BC" w:rsidRPr="004A49D2">
              <w:rPr>
                <w:rFonts w:ascii="Times New Roman" w:hAnsi="Times New Roman" w:cs="Times New Roman"/>
              </w:rPr>
              <w:t xml:space="preserve">išsamią muzikos </w:t>
            </w:r>
            <w:r w:rsidRPr="004A49D2">
              <w:rPr>
                <w:rFonts w:ascii="Times New Roman" w:hAnsi="Times New Roman" w:cs="Times New Roman"/>
                <w:lang w:val="lt-LT"/>
              </w:rPr>
              <w:t>atlikimo meno</w:t>
            </w:r>
            <w:r w:rsidR="00D568BC" w:rsidRPr="004A49D2">
              <w:rPr>
                <w:rFonts w:ascii="Times New Roman" w:hAnsi="Times New Roman" w:cs="Times New Roman"/>
              </w:rPr>
              <w:t xml:space="preserve"> dėsnių panoramą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, supažindinti su </w:t>
            </w:r>
            <w:r w:rsidRPr="004A49D2">
              <w:rPr>
                <w:rFonts w:ascii="Times New Roman" w:hAnsi="Times New Roman" w:cs="Times New Roman"/>
              </w:rPr>
              <w:t>svarbiausi</w:t>
            </w:r>
            <w:r w:rsidRPr="004A49D2">
              <w:rPr>
                <w:rFonts w:ascii="Times New Roman" w:hAnsi="Times New Roman" w:cs="Times New Roman"/>
                <w:lang w:val="lt-LT"/>
              </w:rPr>
              <w:t>ai</w:t>
            </w:r>
            <w:r w:rsidRPr="004A49D2">
              <w:rPr>
                <w:rFonts w:ascii="Times New Roman" w:hAnsi="Times New Roman" w:cs="Times New Roman"/>
              </w:rPr>
              <w:t>s muzikos interpretacijos tyrimų metod</w:t>
            </w:r>
            <w:r w:rsidRPr="004A49D2">
              <w:rPr>
                <w:rFonts w:ascii="Times New Roman" w:hAnsi="Times New Roman" w:cs="Times New Roman"/>
                <w:lang w:val="lt-LT"/>
              </w:rPr>
              <w:t>ai</w:t>
            </w:r>
            <w:r w:rsidRPr="004A49D2">
              <w:rPr>
                <w:rFonts w:ascii="Times New Roman" w:hAnsi="Times New Roman" w:cs="Times New Roman"/>
              </w:rPr>
              <w:t>s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, išnagrinėti </w:t>
            </w:r>
            <w:r w:rsidR="00D568BC" w:rsidRPr="004A49D2">
              <w:rPr>
                <w:rFonts w:ascii="Times New Roman" w:hAnsi="Times New Roman" w:cs="Times New Roman"/>
              </w:rPr>
              <w:t>menini</w:t>
            </w:r>
            <w:r w:rsidRPr="004A49D2">
              <w:rPr>
                <w:rFonts w:ascii="Times New Roman" w:hAnsi="Times New Roman" w:cs="Times New Roman"/>
                <w:lang w:val="lt-LT"/>
              </w:rPr>
              <w:t>us</w:t>
            </w:r>
            <w:r w:rsidR="00D568BC" w:rsidRPr="004A49D2">
              <w:rPr>
                <w:rFonts w:ascii="Times New Roman" w:hAnsi="Times New Roman" w:cs="Times New Roman"/>
              </w:rPr>
              <w:t xml:space="preserve"> ir sociokultūrini</w:t>
            </w:r>
            <w:r w:rsidRPr="004A49D2">
              <w:rPr>
                <w:rFonts w:ascii="Times New Roman" w:hAnsi="Times New Roman" w:cs="Times New Roman"/>
                <w:lang w:val="lt-LT"/>
              </w:rPr>
              <w:t>us</w:t>
            </w:r>
            <w:r w:rsidR="00D568BC" w:rsidRPr="004A49D2">
              <w:rPr>
                <w:rFonts w:ascii="Times New Roman" w:hAnsi="Times New Roman" w:cs="Times New Roman"/>
              </w:rPr>
              <w:t xml:space="preserve"> muzikos atlikėjų veiklos </w:t>
            </w:r>
            <w:r w:rsidRPr="004A49D2">
              <w:rPr>
                <w:rFonts w:ascii="Times New Roman" w:hAnsi="Times New Roman" w:cs="Times New Roman"/>
                <w:lang w:val="lt-LT"/>
              </w:rPr>
              <w:t>aspektus.</w:t>
            </w:r>
            <w:r w:rsidR="00D568BC" w:rsidRPr="004A49D2">
              <w:rPr>
                <w:rFonts w:ascii="Times New Roman" w:hAnsi="Times New Roman" w:cs="Times New Roman"/>
              </w:rPr>
              <w:t xml:space="preserve"> 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Kurso metu </w:t>
            </w:r>
            <w:r w:rsidR="00D568BC" w:rsidRPr="004A49D2">
              <w:rPr>
                <w:rFonts w:ascii="Times New Roman" w:hAnsi="Times New Roman" w:cs="Times New Roman"/>
              </w:rPr>
              <w:t xml:space="preserve">pristatomi senieji </w:t>
            </w:r>
            <w:r w:rsidR="00EA18D9" w:rsidRPr="004A49D2">
              <w:rPr>
                <w:rFonts w:ascii="Times New Roman" w:hAnsi="Times New Roman" w:cs="Times New Roman"/>
                <w:lang w:val="lt-LT"/>
              </w:rPr>
              <w:t>ir naujausi</w:t>
            </w:r>
            <w:r w:rsidR="00D568BC" w:rsidRPr="004A49D2">
              <w:rPr>
                <w:rFonts w:ascii="Times New Roman" w:hAnsi="Times New Roman" w:cs="Times New Roman"/>
              </w:rPr>
              <w:t xml:space="preserve"> teoriniai atlikimo meno praktikų vertinimai</w:t>
            </w:r>
            <w:r w:rsidR="00EA18D9" w:rsidRPr="004A49D2">
              <w:rPr>
                <w:rFonts w:ascii="Times New Roman" w:hAnsi="Times New Roman" w:cs="Times New Roman"/>
                <w:lang w:val="lt-LT"/>
              </w:rPr>
              <w:t xml:space="preserve"> ir analizės būdai,</w:t>
            </w:r>
            <w:r w:rsidR="00D568BC" w:rsidRPr="004A49D2">
              <w:rPr>
                <w:rFonts w:ascii="Times New Roman" w:hAnsi="Times New Roman" w:cs="Times New Roman"/>
              </w:rPr>
              <w:t xml:space="preserve"> aptariamos muzikos interpretavimo studijų metodologijos ir įvairių laikotarpių muzikos kritikos tendencijos.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 I</w:t>
            </w:r>
            <w:r w:rsidRPr="004A49D2">
              <w:rPr>
                <w:rFonts w:ascii="Times New Roman" w:hAnsi="Times New Roman" w:cs="Times New Roman"/>
              </w:rPr>
              <w:t xml:space="preserve">šsamiam supratimui įgyti bei akiračiui išplėsti pasitelkiamos tokios teorinės sritys kaip muzikologija, bendroji istorija, semiotika bei kultūros sociologija. </w:t>
            </w:r>
          </w:p>
        </w:tc>
      </w:tr>
    </w:tbl>
    <w:p w14:paraId="13092786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E04E5" w14:paraId="235AD80A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13E0536" w14:textId="523455D6" w:rsidR="00EE04E5" w:rsidRPr="0009190B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Siekiami studijų rezultatai</w:t>
            </w:r>
          </w:p>
        </w:tc>
      </w:tr>
      <w:tr w:rsidR="00EE04E5" w14:paraId="77BF4D5B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6F1EAEED" w14:textId="32B483E2" w:rsidR="00EE04E5" w:rsidRPr="00A74EA0" w:rsidRDefault="00E91273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Bendrosios ir dalykinės kompetecijos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729BC40" w14:textId="77777777" w:rsidR="00EE04E5" w:rsidRPr="00A74EA0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 w:cs="Times New Roman"/>
                <w:color w:val="000000"/>
                <w:sz w:val="20"/>
                <w:szCs w:val="20"/>
                <w:lang w:val="lt-LT"/>
              </w:rPr>
              <w:t>LMTA Meno doktorantūros programos siekiami rezultatai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727AA5B" w14:textId="0DBD4CA7" w:rsidR="00EE04E5" w:rsidRPr="00A74EA0" w:rsidRDefault="00E91273" w:rsidP="003A1C3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Studijų dalyko  siekiami rezultatai</w:t>
            </w:r>
          </w:p>
        </w:tc>
      </w:tr>
      <w:tr w:rsidR="00EE04E5" w:rsidRPr="00EE04E5" w14:paraId="6C0C153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1079645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Žinios, jų taikymas</w:t>
            </w:r>
          </w:p>
        </w:tc>
        <w:tc>
          <w:tcPr>
            <w:tcW w:w="3402" w:type="dxa"/>
          </w:tcPr>
          <w:p w14:paraId="1B1C926F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Įgyja naujausių sistemingos mokslinių ar meninių tyrimų arba meninės veiklos žinių.</w:t>
            </w:r>
          </w:p>
          <w:p w14:paraId="322A7D19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jas taikyti kuriant naujas fundamentines žinias ir idėjas, sprendžiant strateginio pobūdžio veiklos uždavinius.</w:t>
            </w:r>
          </w:p>
        </w:tc>
        <w:tc>
          <w:tcPr>
            <w:tcW w:w="3544" w:type="dxa"/>
          </w:tcPr>
          <w:p w14:paraId="347003FB" w14:textId="580A4FD6" w:rsidR="00E65D0B" w:rsidRPr="00E65D0B" w:rsidRDefault="00E65D0B" w:rsidP="004728BF">
            <w:pPr>
              <w:ind w:right="328"/>
              <w:rPr>
                <w:rFonts w:ascii="Times New Roman" w:hAnsi="Times New Roman"/>
                <w:lang w:val="lt-LT"/>
              </w:rPr>
            </w:pPr>
            <w:r w:rsidRPr="00E65D0B">
              <w:rPr>
                <w:rFonts w:ascii="Times New Roman" w:hAnsi="Times New Roman"/>
                <w:lang w:val="lt-LT"/>
              </w:rPr>
              <w:t>Įgyja</w:t>
            </w:r>
            <w:r w:rsidR="004728BF" w:rsidRPr="00E65D0B">
              <w:rPr>
                <w:rFonts w:ascii="Times New Roman" w:hAnsi="Times New Roman"/>
              </w:rPr>
              <w:t xml:space="preserve"> </w:t>
            </w:r>
            <w:r w:rsidRPr="00E65D0B">
              <w:rPr>
                <w:rFonts w:ascii="Times New Roman" w:hAnsi="Times New Roman"/>
                <w:lang w:val="lt-LT"/>
              </w:rPr>
              <w:t xml:space="preserve">žinių apie </w:t>
            </w:r>
            <w:r w:rsidR="004728BF" w:rsidRPr="00E65D0B">
              <w:rPr>
                <w:rFonts w:ascii="Times New Roman" w:hAnsi="Times New Roman"/>
              </w:rPr>
              <w:t>istorin</w:t>
            </w:r>
            <w:r w:rsidRPr="00E65D0B">
              <w:rPr>
                <w:rFonts w:ascii="Times New Roman" w:hAnsi="Times New Roman"/>
                <w:lang w:val="lt-LT"/>
              </w:rPr>
              <w:t>ę</w:t>
            </w:r>
            <w:r w:rsidR="004728BF" w:rsidRPr="00E65D0B">
              <w:rPr>
                <w:rFonts w:ascii="Times New Roman" w:hAnsi="Times New Roman"/>
              </w:rPr>
              <w:t xml:space="preserve"> muzikos interpretacijos raidą,</w:t>
            </w:r>
            <w:r w:rsidRPr="00E65D0B">
              <w:rPr>
                <w:rFonts w:ascii="Times New Roman" w:hAnsi="Times New Roman"/>
                <w:lang w:val="lt-LT"/>
              </w:rPr>
              <w:t xml:space="preserve"> konkrečių praktikų ideologinį ir istorinį kontekstą, šių praktikų analizės metodus.</w:t>
            </w:r>
          </w:p>
          <w:p w14:paraId="1E46CFA9" w14:textId="17D26136" w:rsidR="004728BF" w:rsidRPr="00E65D0B" w:rsidRDefault="00E65D0B" w:rsidP="004728BF">
            <w:pPr>
              <w:ind w:right="328"/>
              <w:rPr>
                <w:rFonts w:ascii="Times New Roman" w:hAnsi="Times New Roman"/>
                <w:lang w:val="lt-LT"/>
              </w:rPr>
            </w:pPr>
            <w:r w:rsidRPr="00E65D0B">
              <w:rPr>
                <w:rFonts w:ascii="Times New Roman" w:hAnsi="Times New Roman"/>
                <w:lang w:val="lt-LT"/>
              </w:rPr>
              <w:t>Geba</w:t>
            </w:r>
            <w:r w:rsidR="004728BF" w:rsidRPr="00E65D0B">
              <w:rPr>
                <w:rFonts w:ascii="Times New Roman" w:hAnsi="Times New Roman"/>
              </w:rPr>
              <w:t xml:space="preserve"> įvertinti istorinių ir sociokultūrinių aplinkybių įtaką muzikos atlikimo meno praktikoms</w:t>
            </w:r>
            <w:r w:rsidRPr="00E65D0B">
              <w:rPr>
                <w:rFonts w:ascii="Times New Roman" w:hAnsi="Times New Roman"/>
                <w:lang w:val="lt-LT"/>
              </w:rPr>
              <w:t>, pritaikyti naujausias atlikimo studijų metodologijas sprendžiant savo srities uždavinius.</w:t>
            </w:r>
          </w:p>
          <w:p w14:paraId="230E0615" w14:textId="3D3DA7E9" w:rsidR="00EE04E5" w:rsidRPr="00E65D0B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7D4F192A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697401B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Gebėjimai vykdyti tyrimus</w:t>
            </w:r>
          </w:p>
        </w:tc>
        <w:tc>
          <w:tcPr>
            <w:tcW w:w="3402" w:type="dxa"/>
          </w:tcPr>
          <w:p w14:paraId="13830894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pasiūlyti, analizuoti, sintetinti, sisteminti ir kritiškai vertinti naujas ir sudėtingas idėjas, ieškant originalių mokslinių/ meninių tyrimų ir meno kūrybos sprendimų, sprendžiant sudėtingas kultūros ir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lastRenderedPageBreak/>
              <w:t xml:space="preserve">mokslo plėtros, visuomenės meninės veiklos problemas. </w:t>
            </w:r>
          </w:p>
          <w:p w14:paraId="24ECD528" w14:textId="77777777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planuoti ir vykdyti fundamentinius ir taikomuosius/ meninius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didelės apimties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tyrimus arba kultūros ir meno projektus,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kurie reikšmingai išplečia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žinių ribas.</w:t>
            </w:r>
          </w:p>
        </w:tc>
        <w:tc>
          <w:tcPr>
            <w:tcW w:w="3544" w:type="dxa"/>
          </w:tcPr>
          <w:p w14:paraId="0AF98B6D" w14:textId="77777777" w:rsidR="00E65D0B" w:rsidRDefault="00E65D0B" w:rsidP="00A74EA0">
            <w:pPr>
              <w:spacing w:before="120" w:after="120"/>
              <w:ind w:left="176"/>
              <w:contextualSpacing/>
              <w:rPr>
                <w:rFonts w:ascii="Times New Roman" w:hAnsi="Times New Roman"/>
              </w:rPr>
            </w:pPr>
          </w:p>
          <w:p w14:paraId="15B3000E" w14:textId="10B8574B" w:rsidR="00EE04E5" w:rsidRPr="00E65D0B" w:rsidRDefault="004728BF" w:rsidP="004A49D2">
            <w:pPr>
              <w:spacing w:before="120" w:after="120"/>
              <w:ind w:hanging="56"/>
              <w:contextualSpacing/>
              <w:rPr>
                <w:rFonts w:ascii="Times New Roman" w:hAnsi="Times New Roman"/>
                <w:lang w:val="lt-LT"/>
              </w:rPr>
            </w:pPr>
            <w:r w:rsidRPr="00E65D0B">
              <w:rPr>
                <w:rFonts w:ascii="Times New Roman" w:hAnsi="Times New Roman"/>
              </w:rPr>
              <w:t>Geb</w:t>
            </w:r>
            <w:r w:rsidR="00E65D0B" w:rsidRPr="00E65D0B">
              <w:rPr>
                <w:rFonts w:ascii="Times New Roman" w:hAnsi="Times New Roman"/>
                <w:lang w:val="lt-LT"/>
              </w:rPr>
              <w:t>a</w:t>
            </w:r>
            <w:r w:rsidRPr="00E65D0B">
              <w:rPr>
                <w:rFonts w:ascii="Times New Roman" w:hAnsi="Times New Roman"/>
              </w:rPr>
              <w:t xml:space="preserve"> kritiškai įvertinti muzikos atlikėjų meną, palyginti įvairias muzikos interpretacijos </w:t>
            </w:r>
            <w:r w:rsidR="00E65D0B">
              <w:rPr>
                <w:rFonts w:ascii="Times New Roman" w:hAnsi="Times New Roman"/>
                <w:lang w:val="lt-LT"/>
              </w:rPr>
              <w:t xml:space="preserve">ir jos tyrimų bei kritikos </w:t>
            </w:r>
            <w:r w:rsidRPr="00E65D0B">
              <w:rPr>
                <w:rFonts w:ascii="Times New Roman" w:hAnsi="Times New Roman"/>
              </w:rPr>
              <w:t xml:space="preserve">praktikas, suvokti </w:t>
            </w:r>
            <w:r w:rsidR="00E65D0B">
              <w:rPr>
                <w:rFonts w:ascii="Times New Roman" w:hAnsi="Times New Roman"/>
                <w:lang w:val="lt-LT"/>
              </w:rPr>
              <w:t xml:space="preserve">ir įvertinti </w:t>
            </w:r>
            <w:r w:rsidRPr="00E65D0B">
              <w:rPr>
                <w:rFonts w:ascii="Times New Roman" w:hAnsi="Times New Roman"/>
              </w:rPr>
              <w:t>muzikos atlikėjo vaidmenį kūrybiniame procese</w:t>
            </w:r>
            <w:r w:rsidR="00E65D0B">
              <w:rPr>
                <w:rFonts w:ascii="Times New Roman" w:hAnsi="Times New Roman"/>
                <w:lang w:val="lt-LT"/>
              </w:rPr>
              <w:t xml:space="preserve">, analizuoti </w:t>
            </w:r>
            <w:r w:rsidR="00E65D0B">
              <w:rPr>
                <w:rFonts w:ascii="Times New Roman" w:hAnsi="Times New Roman"/>
                <w:lang w:val="lt-LT"/>
              </w:rPr>
              <w:lastRenderedPageBreak/>
              <w:t>įvairias muzikos atlikimo praktikas reprezentuojančią vaizdo ir garso medžiagą.</w:t>
            </w:r>
          </w:p>
          <w:p w14:paraId="5518A22B" w14:textId="77777777" w:rsidR="00E65D0B" w:rsidRPr="00E65D0B" w:rsidRDefault="00E65D0B" w:rsidP="004A49D2">
            <w:pPr>
              <w:spacing w:before="120" w:after="120"/>
              <w:ind w:hanging="56"/>
              <w:contextualSpacing/>
              <w:rPr>
                <w:rFonts w:ascii="Times New Roman" w:hAnsi="Times New Roman" w:cs="Times New Roman"/>
              </w:rPr>
            </w:pPr>
          </w:p>
          <w:p w14:paraId="2CBA2CA2" w14:textId="6888EB59" w:rsidR="00E65D0B" w:rsidRPr="00BC1A82" w:rsidRDefault="00E65D0B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227F888C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E856A0D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lastRenderedPageBreak/>
              <w:t>Specialieji gebėjimai</w:t>
            </w:r>
          </w:p>
        </w:tc>
        <w:tc>
          <w:tcPr>
            <w:tcW w:w="3402" w:type="dxa"/>
          </w:tcPr>
          <w:p w14:paraId="3F425010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Geba, remiantis naujausiomis mokslinių/ meninių tyrimų  teikiamomis žiniomis, kurti originalias tyrimų, studijų, kultūrinės ir meninės veiklos, naujovių kūrimo priemones ir instrumentus. </w:t>
            </w:r>
          </w:p>
          <w:p w14:paraId="6E063965" w14:textId="77777777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dirbti intelektinį, meninį ir kūrybinį darbą.</w:t>
            </w:r>
          </w:p>
        </w:tc>
        <w:tc>
          <w:tcPr>
            <w:tcW w:w="3544" w:type="dxa"/>
          </w:tcPr>
          <w:p w14:paraId="16C99151" w14:textId="77777777" w:rsidR="004728BF" w:rsidRDefault="004728BF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  <w:p w14:paraId="7FD4D1BF" w14:textId="4A727BA0" w:rsidR="004728BF" w:rsidRPr="00E65D0B" w:rsidRDefault="00E65D0B" w:rsidP="004A49D2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E65D0B">
              <w:rPr>
                <w:rFonts w:ascii="Times New Roman" w:hAnsi="Times New Roman"/>
                <w:lang w:val="lt-LT"/>
              </w:rPr>
              <w:t xml:space="preserve">Remdamiesi </w:t>
            </w:r>
            <w:r w:rsidR="004728BF" w:rsidRPr="00E65D0B">
              <w:rPr>
                <w:rFonts w:ascii="Times New Roman" w:hAnsi="Times New Roman"/>
              </w:rPr>
              <w:t>filosofini</w:t>
            </w:r>
            <w:r w:rsidRPr="00E65D0B">
              <w:rPr>
                <w:rFonts w:ascii="Times New Roman" w:hAnsi="Times New Roman"/>
                <w:lang w:val="lt-LT"/>
              </w:rPr>
              <w:t>ai</w:t>
            </w:r>
            <w:r w:rsidR="004728BF" w:rsidRPr="00E65D0B">
              <w:rPr>
                <w:rFonts w:ascii="Times New Roman" w:hAnsi="Times New Roman"/>
              </w:rPr>
              <w:t>s ir teorini</w:t>
            </w:r>
            <w:r w:rsidRPr="00E65D0B">
              <w:rPr>
                <w:rFonts w:ascii="Times New Roman" w:hAnsi="Times New Roman"/>
                <w:lang w:val="lt-LT"/>
              </w:rPr>
              <w:t>ai</w:t>
            </w:r>
            <w:r w:rsidR="004728BF" w:rsidRPr="00E65D0B">
              <w:rPr>
                <w:rFonts w:ascii="Times New Roman" w:hAnsi="Times New Roman"/>
              </w:rPr>
              <w:t>s muzikos atlikimo meno vertinim</w:t>
            </w:r>
            <w:r w:rsidRPr="00E65D0B">
              <w:rPr>
                <w:rFonts w:ascii="Times New Roman" w:hAnsi="Times New Roman"/>
                <w:lang w:val="lt-LT"/>
              </w:rPr>
              <w:t>ai</w:t>
            </w:r>
            <w:r w:rsidR="004728BF" w:rsidRPr="00E65D0B">
              <w:rPr>
                <w:rFonts w:ascii="Times New Roman" w:hAnsi="Times New Roman"/>
              </w:rPr>
              <w:t>s</w:t>
            </w:r>
            <w:r w:rsidRPr="00E65D0B">
              <w:rPr>
                <w:rFonts w:ascii="Times New Roman" w:hAnsi="Times New Roman"/>
                <w:lang w:val="lt-LT"/>
              </w:rPr>
              <w:t xml:space="preserve"> bei naujausiomis atlikimo studijų metodologijomis, geba šias priemones</w:t>
            </w:r>
            <w:r w:rsidR="004728BF" w:rsidRPr="00E65D0B">
              <w:rPr>
                <w:rFonts w:ascii="Times New Roman" w:hAnsi="Times New Roman"/>
              </w:rPr>
              <w:t xml:space="preserve"> savarankiškai pritaikyti praktinių atvejų studijoms</w:t>
            </w:r>
            <w:r w:rsidRPr="00E65D0B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8B58BB" w:rsidRPr="00EE04E5" w14:paraId="1F60BB39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11A61597" w14:textId="77777777" w:rsidR="008B58BB" w:rsidRPr="00A74EA0" w:rsidRDefault="008B58BB" w:rsidP="008B58BB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Socialiniai gebėjimai</w:t>
            </w:r>
          </w:p>
        </w:tc>
        <w:tc>
          <w:tcPr>
            <w:tcW w:w="3402" w:type="dxa"/>
          </w:tcPr>
          <w:p w14:paraId="2B96F435" w14:textId="77777777" w:rsidR="008B58BB" w:rsidRPr="00A74EA0" w:rsidRDefault="008B58BB" w:rsidP="008B58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bendrauti su moksline, kūrybine ir kultūrine bendruomene, inicijuojant ir plėtojant naujus tyrimų ar kūrybinius projektus.</w:t>
            </w:r>
          </w:p>
          <w:p w14:paraId="5923717D" w14:textId="77777777" w:rsidR="008B58BB" w:rsidRPr="00A74EA0" w:rsidRDefault="008B58BB" w:rsidP="008B58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Plėtoja tiriamąją/ kūrybinę veiklą, skatinančią visuomenės raidai palankią kultūrinę pažangą.</w:t>
            </w:r>
          </w:p>
        </w:tc>
        <w:tc>
          <w:tcPr>
            <w:tcW w:w="3544" w:type="dxa"/>
          </w:tcPr>
          <w:p w14:paraId="619B4E03" w14:textId="77777777" w:rsidR="00DF5DF9" w:rsidRDefault="00DF5DF9" w:rsidP="008B58BB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  <w:p w14:paraId="367AF893" w14:textId="77777777" w:rsidR="00DF5DF9" w:rsidRPr="00DF5DF9" w:rsidRDefault="00DF5DF9" w:rsidP="004A49D2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DF5DF9">
              <w:rPr>
                <w:rFonts w:ascii="Times New Roman" w:hAnsi="Times New Roman" w:cs="Times New Roman"/>
                <w:lang w:val="lt-LT"/>
              </w:rPr>
              <w:t>Plėtoja atlikimo meno studijų žiniomis grįstą tiriamąją veiklą, skatinančią gilesnį šios srities pažinimą ir naujas patirtis.</w:t>
            </w:r>
          </w:p>
          <w:p w14:paraId="3FC5B941" w14:textId="1DF0B5CB" w:rsidR="00DF5DF9" w:rsidRPr="008B58BB" w:rsidRDefault="00DF5DF9" w:rsidP="008B58BB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</w:tc>
      </w:tr>
      <w:tr w:rsidR="008B58BB" w:rsidRPr="00EE04E5" w14:paraId="5F164FEA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CFB2D8E" w14:textId="77777777" w:rsidR="008B58BB" w:rsidRPr="00A74EA0" w:rsidRDefault="008B58BB" w:rsidP="008B58BB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Asmeniniai gebėjimai</w:t>
            </w:r>
          </w:p>
        </w:tc>
        <w:tc>
          <w:tcPr>
            <w:tcW w:w="3402" w:type="dxa"/>
          </w:tcPr>
          <w:p w14:paraId="2B0F951A" w14:textId="77777777" w:rsidR="008B58BB" w:rsidRPr="00A74EA0" w:rsidRDefault="008B58BB" w:rsidP="008B58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savarankiškai tobulėti, kritiškai vertinti savo sprendimus ir pasiekimus, pasirengęs nuolatos tobulinti įgūdžius mokytis visą gyvenimą, plėtoti kūrybinius intelektinius asmens gebėjimus.</w:t>
            </w:r>
          </w:p>
          <w:p w14:paraId="0FD7CB3C" w14:textId="77777777" w:rsidR="008B58BB" w:rsidRPr="00A74EA0" w:rsidRDefault="008B58BB" w:rsidP="008B58BB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greitai reaguoti į dinamiškus visuomenės pokyčius.</w:t>
            </w:r>
          </w:p>
        </w:tc>
        <w:tc>
          <w:tcPr>
            <w:tcW w:w="3544" w:type="dxa"/>
          </w:tcPr>
          <w:p w14:paraId="54A8D0D7" w14:textId="77777777" w:rsidR="008B58BB" w:rsidRDefault="008B58BB" w:rsidP="008B58BB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  <w:p w14:paraId="649C6688" w14:textId="5600966F" w:rsidR="00C77BBC" w:rsidRPr="008B58BB" w:rsidRDefault="00DF5DF9" w:rsidP="004A49D2">
            <w:pPr>
              <w:spacing w:before="120" w:after="120"/>
              <w:contextualSpacing/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DF5DF9">
              <w:rPr>
                <w:rFonts w:ascii="Times New Roman" w:hAnsi="Times New Roman" w:cs="Times New Roman"/>
                <w:lang w:val="lt-LT"/>
              </w:rPr>
              <w:t>Plečia kūrybinį akiratį</w:t>
            </w:r>
            <w:r>
              <w:rPr>
                <w:rFonts w:ascii="Times New Roman" w:hAnsi="Times New Roman" w:cs="Times New Roman"/>
                <w:lang w:val="lt-LT"/>
              </w:rPr>
              <w:t xml:space="preserve"> ir požiūrį į muzikos atlikimo meną</w:t>
            </w:r>
            <w:r w:rsidRPr="00DF5DF9">
              <w:rPr>
                <w:rFonts w:ascii="Times New Roman" w:hAnsi="Times New Roman" w:cs="Times New Roman"/>
                <w:lang w:val="lt-LT"/>
              </w:rPr>
              <w:t>, p</w:t>
            </w:r>
            <w:r w:rsidR="00C77BBC" w:rsidRPr="00DF5DF9">
              <w:rPr>
                <w:rFonts w:ascii="Times New Roman" w:hAnsi="Times New Roman" w:cs="Times New Roman"/>
                <w:lang w:val="lt-LT"/>
              </w:rPr>
              <w:t>lėtoja asmeninius kritinio vertinimo įgūdžius ir vertybines nuostatas.</w:t>
            </w:r>
          </w:p>
        </w:tc>
      </w:tr>
    </w:tbl>
    <w:p w14:paraId="76049C0C" w14:textId="77777777" w:rsidR="00CC4254" w:rsidRPr="00EE04E5" w:rsidRDefault="00CC4254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134AC408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9E3629C" w14:textId="77777777" w:rsidR="003A1C35" w:rsidRPr="003A1C35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14:paraId="12B41EC9" w14:textId="77777777" w:rsidTr="006467A1">
        <w:tc>
          <w:tcPr>
            <w:tcW w:w="9322" w:type="dxa"/>
            <w:shd w:val="clear" w:color="auto" w:fill="auto"/>
          </w:tcPr>
          <w:p w14:paraId="1A2077E8" w14:textId="2DE5D478" w:rsidR="009A03AE" w:rsidRPr="004A49D2" w:rsidRDefault="00E507A2" w:rsidP="00E507A2">
            <w:pPr>
              <w:pStyle w:val="Default"/>
              <w:jc w:val="both"/>
            </w:pPr>
            <w:r w:rsidRPr="004A49D2">
              <w:t>Dalyko „Interpretacijos tyrimai ir kritika“ tikslas – supažindinti doktorantus su istoriniais ir teoriniais įvairių atlikimo meno praktikų aspektais, naujausiomis muzikos interpretavimo studijų metodologijomis, gilinti gebėjimą analizuoti ir vertinti muzikos atlikėjų meną iš praktinės, teorinės ir bendrakultūrinės perspektyvų.</w:t>
            </w:r>
          </w:p>
          <w:p w14:paraId="364F13B7" w14:textId="49493FC6" w:rsidR="00E507A2" w:rsidRPr="00E507A2" w:rsidRDefault="00E507A2" w:rsidP="00E507A2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9A03AE" w14:paraId="63936D77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30DCD8D" w14:textId="77777777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>Dalyko turinys (paskaitų, seminarų temos)</w:t>
            </w:r>
          </w:p>
        </w:tc>
      </w:tr>
      <w:tr w:rsidR="003A1C35" w14:paraId="021E774B" w14:textId="77777777" w:rsidTr="003A1C35">
        <w:tc>
          <w:tcPr>
            <w:tcW w:w="9322" w:type="dxa"/>
          </w:tcPr>
          <w:p w14:paraId="76C88EBC" w14:textId="38F43866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Tyrimų objektas: terminologija, istorija, dabartinės tendencijos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0718BBC3" w14:textId="3046BC53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Atlikimo meno sociologija: XX–XXI amžių atlikėjų veiklos tendencijos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5AE7DCD0" w14:textId="2C567050" w:rsidR="003E7C58" w:rsidRPr="004A49D2" w:rsidRDefault="006D0526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Paskaita-seminaras „</w:t>
            </w:r>
            <w:r w:rsidR="003E7C58" w:rsidRPr="004A49D2">
              <w:rPr>
                <w:rFonts w:ascii="Times New Roman" w:hAnsi="Times New Roman" w:cs="Times New Roman"/>
                <w:lang w:val="lt-LT"/>
              </w:rPr>
              <w:t>Naujosios atlikimo meno studijų tendencijos, semiotinė ištarties analizė</w:t>
            </w:r>
            <w:r w:rsidRPr="004A49D2">
              <w:rPr>
                <w:rFonts w:ascii="Times New Roman" w:hAnsi="Times New Roman" w:cs="Times New Roman"/>
                <w:lang w:val="lt-LT"/>
              </w:rPr>
              <w:t>“;</w:t>
            </w:r>
          </w:p>
          <w:p w14:paraId="0C0F0184" w14:textId="5D498C0B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Atlikėjo kūniškoji raiška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, gestų analizė;</w:t>
            </w:r>
          </w:p>
          <w:p w14:paraId="36B9D249" w14:textId="698E5889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Atlikimas kaip diskurso valiuta populiariojoje muzikoje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11C5103E" w14:textId="14E7781B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Tradicinė muzikologija ir interpretacijos studijos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500CC635" w14:textId="669B5E2C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Garso įrašų technologijos ir jų įtaka muzikos atlikimo menui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,</w:t>
            </w:r>
            <w:r w:rsidRPr="004A49D2">
              <w:rPr>
                <w:rFonts w:ascii="Times New Roman" w:hAnsi="Times New Roman" w:cs="Times New Roman"/>
                <w:lang w:val="lt-LT"/>
              </w:rPr>
              <w:t xml:space="preserve"> garso įrašų analizės metodai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095D4640" w14:textId="098252C6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lastRenderedPageBreak/>
              <w:t xml:space="preserve">Šiuolaikinės muzikos atlikimas kaip specifinė </w:t>
            </w:r>
            <w:r w:rsidR="00E507A2" w:rsidRPr="004A49D2">
              <w:rPr>
                <w:rFonts w:ascii="Times New Roman" w:hAnsi="Times New Roman" w:cs="Times New Roman"/>
                <w:lang w:val="lt-LT"/>
              </w:rPr>
              <w:t xml:space="preserve">meninės kolaboracijos </w:t>
            </w:r>
            <w:r w:rsidRPr="004A49D2">
              <w:rPr>
                <w:rFonts w:ascii="Times New Roman" w:hAnsi="Times New Roman" w:cs="Times New Roman"/>
                <w:lang w:val="lt-LT"/>
              </w:rPr>
              <w:t>sritis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5A5CAC83" w14:textId="7C598123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Autentiškumo samprata ir problema muzikos atlikimo mene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;</w:t>
            </w:r>
          </w:p>
          <w:p w14:paraId="3052FE53" w14:textId="11988448" w:rsidR="003E7C58" w:rsidRPr="004A49D2" w:rsidRDefault="006D0526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Paskaita-seminaras „</w:t>
            </w:r>
            <w:r w:rsidR="003E7C58" w:rsidRPr="004A49D2">
              <w:rPr>
                <w:rFonts w:ascii="Times New Roman" w:hAnsi="Times New Roman" w:cs="Times New Roman"/>
                <w:lang w:val="lt-LT"/>
              </w:rPr>
              <w:t>Atlikimo meno vizualizacija</w:t>
            </w:r>
            <w:r w:rsidRPr="004A49D2">
              <w:rPr>
                <w:rFonts w:ascii="Times New Roman" w:hAnsi="Times New Roman" w:cs="Times New Roman"/>
                <w:lang w:val="lt-LT"/>
              </w:rPr>
              <w:t>“;</w:t>
            </w:r>
          </w:p>
          <w:p w14:paraId="41AF6E12" w14:textId="223F4C45" w:rsidR="00E507A2" w:rsidRPr="004A49D2" w:rsidRDefault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Paskaita-seminaras „Muzikos atlikimo kritika“</w:t>
            </w:r>
            <w:r w:rsidR="006D0526" w:rsidRPr="004A49D2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</w:tbl>
    <w:p w14:paraId="65D3280C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14:paraId="64C7BCA6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70B45037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Studijų metodai</w:t>
            </w:r>
          </w:p>
        </w:tc>
        <w:tc>
          <w:tcPr>
            <w:tcW w:w="6662" w:type="dxa"/>
          </w:tcPr>
          <w:p w14:paraId="5076487D" w14:textId="4F0B9481" w:rsidR="003A1C35" w:rsidRPr="004A49D2" w:rsidRDefault="00165939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Paskaitos, seminarai, grupės diskusijos, pristatymų rengimas, savarankišk</w:t>
            </w:r>
            <w:r w:rsidR="006203FF" w:rsidRPr="004A49D2">
              <w:rPr>
                <w:rFonts w:ascii="Times New Roman" w:hAnsi="Times New Roman" w:cs="Times New Roman"/>
                <w:lang w:val="lt-LT"/>
              </w:rPr>
              <w:t>os vaizdo ir garso įrašų, naujųjų medijų analizės</w:t>
            </w:r>
            <w:r w:rsidR="00E507A2" w:rsidRPr="004A49D2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3A1C35" w14:paraId="3B4B6C3B" w14:textId="77777777" w:rsidTr="00045543">
        <w:tc>
          <w:tcPr>
            <w:tcW w:w="2660" w:type="dxa"/>
            <w:shd w:val="clear" w:color="auto" w:fill="F2F2F2" w:themeFill="background1" w:themeFillShade="F2"/>
          </w:tcPr>
          <w:p w14:paraId="5D9D12F4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Atsiskaitymo formos</w:t>
            </w:r>
          </w:p>
        </w:tc>
        <w:tc>
          <w:tcPr>
            <w:tcW w:w="6662" w:type="dxa"/>
          </w:tcPr>
          <w:p w14:paraId="0177DF33" w14:textId="77777777" w:rsidR="002D40A4" w:rsidRPr="004A49D2" w:rsidRDefault="002D40A4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Mokslinių straipsnių ir meno kūrinių (atlikimų) analizė seminaruose;</w:t>
            </w:r>
          </w:p>
          <w:p w14:paraId="571F81F4" w14:textId="5373184B" w:rsidR="003E7C58" w:rsidRPr="004A49D2" w:rsidRDefault="003E7C58" w:rsidP="003E7C58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Tarpinis atsiskaitymas – recenzija</w:t>
            </w:r>
            <w:r w:rsidR="00E507A2" w:rsidRPr="004A49D2">
              <w:rPr>
                <w:rFonts w:ascii="Times New Roman" w:hAnsi="Times New Roman" w:cs="Times New Roman"/>
                <w:lang w:val="lt-LT"/>
              </w:rPr>
              <w:t>, parašyta atsižvelgiant į nurodytus kriterijus;</w:t>
            </w:r>
          </w:p>
          <w:p w14:paraId="6DED14FF" w14:textId="35A6666A" w:rsidR="00E507A2" w:rsidRPr="004A49D2" w:rsidRDefault="00E507A2" w:rsidP="00E507A2">
            <w:pPr>
              <w:rPr>
                <w:rFonts w:ascii="Times New Roman" w:hAnsi="Times New Roman" w:cs="Times New Roman"/>
                <w:lang w:val="lt-LT"/>
              </w:rPr>
            </w:pPr>
            <w:r w:rsidRPr="004A49D2">
              <w:rPr>
                <w:rFonts w:ascii="Times New Roman" w:hAnsi="Times New Roman" w:cs="Times New Roman"/>
                <w:lang w:val="lt-LT"/>
              </w:rPr>
              <w:t>Galutinis atsiskaitymas – referatas ir jo pristatymas.</w:t>
            </w:r>
          </w:p>
        </w:tc>
      </w:tr>
    </w:tbl>
    <w:p w14:paraId="5783D4FF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9"/>
        <w:gridCol w:w="887"/>
        <w:gridCol w:w="5386"/>
      </w:tblGrid>
      <w:tr w:rsidR="00FA460E" w14:paraId="46B28243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78F1200" w14:textId="77777777" w:rsidR="00FA460E" w:rsidRPr="00FA460E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FA460E">
              <w:rPr>
                <w:rFonts w:asciiTheme="majorHAnsi" w:hAnsiTheme="majorHAnsi"/>
                <w:b/>
                <w:lang w:val="lt-LT"/>
              </w:rPr>
              <w:t>Vertinimo strategija</w:t>
            </w:r>
          </w:p>
        </w:tc>
      </w:tr>
      <w:tr w:rsidR="00FA460E" w:rsidRPr="00045543" w14:paraId="32E5323E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493C0C58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Atsiskaitymas/ įvertinimas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1FB27B2A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Svoris, proc.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1D2BC304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Vertinimo kriterijai</w:t>
            </w:r>
          </w:p>
        </w:tc>
      </w:tr>
      <w:tr w:rsidR="00FA460E" w14:paraId="1FF0EB79" w14:textId="77777777" w:rsidTr="00FA460E">
        <w:tc>
          <w:tcPr>
            <w:tcW w:w="3049" w:type="dxa"/>
          </w:tcPr>
          <w:p w14:paraId="1DC53A6F" w14:textId="7581D255" w:rsidR="00FA460E" w:rsidRPr="00992FBD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Darbas paskaitose</w:t>
            </w:r>
            <w:r w:rsidR="00992FBD" w:rsidRPr="00992FBD">
              <w:rPr>
                <w:rFonts w:ascii="Times New Roman" w:hAnsi="Times New Roman" w:cs="Times New Roman"/>
                <w:lang w:val="lt-LT"/>
              </w:rPr>
              <w:t xml:space="preserve"> ir seminaruose</w:t>
            </w:r>
          </w:p>
        </w:tc>
        <w:tc>
          <w:tcPr>
            <w:tcW w:w="887" w:type="dxa"/>
          </w:tcPr>
          <w:p w14:paraId="325F79DC" w14:textId="0E3EA4A7" w:rsidR="00FA460E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FBD">
              <w:rPr>
                <w:rFonts w:ascii="Times New Roman" w:hAnsi="Times New Roman" w:cs="Times New Roman"/>
                <w:lang w:val="en-US"/>
              </w:rPr>
              <w:t>2</w:t>
            </w:r>
            <w:r w:rsidR="00FA460E" w:rsidRPr="00992FB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86" w:type="dxa"/>
          </w:tcPr>
          <w:p w14:paraId="159C157C" w14:textId="6B1DDCD4" w:rsidR="00045543" w:rsidRPr="006203FF" w:rsidRDefault="00992FBD" w:rsidP="006203FF">
            <w:pPr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/>
              </w:rPr>
              <w:t>Vertinamas gebėjimas įsisavinti teorines ir istorines žinias,</w:t>
            </w:r>
            <w:r w:rsidR="006203FF">
              <w:rPr>
                <w:rFonts w:ascii="Times New Roman" w:hAnsi="Times New Roman"/>
                <w:lang w:val="lt-LT"/>
              </w:rPr>
              <w:t xml:space="preserve"> </w:t>
            </w:r>
            <w:r w:rsidRPr="006203FF">
              <w:rPr>
                <w:rFonts w:ascii="Times New Roman" w:hAnsi="Times New Roman"/>
              </w:rPr>
              <w:t xml:space="preserve">kritiškai ir analitiškai mąstyti, atskleisti, formuluoti ir analizuoti muzikos atlikimo meno problemas, </w:t>
            </w:r>
            <w:r w:rsidR="006203FF">
              <w:rPr>
                <w:rFonts w:ascii="Times New Roman" w:hAnsi="Times New Roman"/>
                <w:lang w:val="lt-LT"/>
              </w:rPr>
              <w:t xml:space="preserve">analizuoti garso ir vaizdo įrašus, </w:t>
            </w:r>
            <w:r w:rsidRPr="006203FF">
              <w:rPr>
                <w:rFonts w:ascii="Times New Roman" w:hAnsi="Times New Roman"/>
              </w:rPr>
              <w:t>dalyvauti diskusijoje.</w:t>
            </w:r>
          </w:p>
        </w:tc>
      </w:tr>
      <w:tr w:rsidR="00992FBD" w14:paraId="779AA392" w14:textId="77777777" w:rsidTr="00FA460E">
        <w:tc>
          <w:tcPr>
            <w:tcW w:w="3049" w:type="dxa"/>
          </w:tcPr>
          <w:p w14:paraId="73A3BC1E" w14:textId="2F553D8C" w:rsidR="00992FBD" w:rsidRPr="00992FBD" w:rsidRDefault="00992FBD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Tarpinis atsiskaitymas (recenzija)</w:t>
            </w:r>
          </w:p>
        </w:tc>
        <w:tc>
          <w:tcPr>
            <w:tcW w:w="887" w:type="dxa"/>
          </w:tcPr>
          <w:p w14:paraId="6B74B00D" w14:textId="5CAB4758" w:rsidR="00992FBD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5386" w:type="dxa"/>
          </w:tcPr>
          <w:p w14:paraId="7692C4F3" w14:textId="6A34B9AB" w:rsidR="00992FBD" w:rsidRPr="006203FF" w:rsidRDefault="006203FF" w:rsidP="00045543">
            <w:pPr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 w:cs="Times New Roman"/>
                <w:lang w:val="lt-LT"/>
              </w:rPr>
              <w:t xml:space="preserve">Vertinamas gebėjimas </w:t>
            </w:r>
            <w:r>
              <w:rPr>
                <w:rFonts w:ascii="Times New Roman" w:hAnsi="Times New Roman" w:cs="Times New Roman"/>
                <w:lang w:val="lt-LT"/>
              </w:rPr>
              <w:t xml:space="preserve">kritiškai </w:t>
            </w:r>
            <w:r w:rsidRPr="006203FF">
              <w:rPr>
                <w:rFonts w:ascii="Times New Roman" w:hAnsi="Times New Roman" w:cs="Times New Roman"/>
                <w:lang w:val="lt-LT"/>
              </w:rPr>
              <w:t xml:space="preserve">išanalizuoti gyvą arba įrašytą atlikimą pagal iš anksto pateiktus kriterijus, aiškiai ir patraukliai išdėstyti mintis, suteikti </w:t>
            </w:r>
            <w:r>
              <w:rPr>
                <w:rFonts w:ascii="Times New Roman" w:hAnsi="Times New Roman" w:cs="Times New Roman"/>
                <w:lang w:val="lt-LT"/>
              </w:rPr>
              <w:t xml:space="preserve">1–2 psl. </w:t>
            </w:r>
            <w:r w:rsidRPr="006203FF">
              <w:rPr>
                <w:rFonts w:ascii="Times New Roman" w:hAnsi="Times New Roman" w:cs="Times New Roman"/>
                <w:lang w:val="lt-LT"/>
              </w:rPr>
              <w:t>recenzijai išbaigtą formą.</w:t>
            </w:r>
          </w:p>
        </w:tc>
      </w:tr>
      <w:tr w:rsidR="00FA460E" w:rsidRPr="00045543" w14:paraId="3A15ADB6" w14:textId="77777777" w:rsidTr="00FA460E">
        <w:tc>
          <w:tcPr>
            <w:tcW w:w="3049" w:type="dxa"/>
          </w:tcPr>
          <w:p w14:paraId="75024B58" w14:textId="77777777" w:rsidR="00FA460E" w:rsidRPr="00992FBD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Rašto darbas</w:t>
            </w:r>
          </w:p>
        </w:tc>
        <w:tc>
          <w:tcPr>
            <w:tcW w:w="887" w:type="dxa"/>
          </w:tcPr>
          <w:p w14:paraId="74116F9E" w14:textId="4AC08C7C" w:rsidR="00FA460E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5386" w:type="dxa"/>
          </w:tcPr>
          <w:p w14:paraId="5BF3FBF4" w14:textId="79AB29E9" w:rsidR="00FA460E" w:rsidRPr="006203FF" w:rsidRDefault="00992FBD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/>
              </w:rPr>
              <w:t xml:space="preserve">Vertinamas gebėjimas atrinkti ir sisteminti šaltinius atvejo studijai pasirinkta muzikos atlikimo meno problema, kritiškai ir analitiškai mąstyti, interpretuoti muzikos atlikimo meno problematiką platesniame istoriniame ir kultūriniame kontekste, savarankiškai parengti </w:t>
            </w:r>
            <w:r w:rsidR="006203FF">
              <w:rPr>
                <w:rFonts w:ascii="Times New Roman" w:hAnsi="Times New Roman"/>
                <w:lang w:val="lt-LT"/>
              </w:rPr>
              <w:t>ca. 25.000 sp.ž</w:t>
            </w:r>
            <w:r w:rsidRPr="006203FF">
              <w:rPr>
                <w:rFonts w:ascii="Times New Roman" w:hAnsi="Times New Roman"/>
              </w:rPr>
              <w:t>. apimties tekstą</w:t>
            </w:r>
            <w:r w:rsidR="006203FF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FA460E" w:rsidRPr="00045543" w14:paraId="2F3D1E9E" w14:textId="77777777" w:rsidTr="00FA460E">
        <w:tc>
          <w:tcPr>
            <w:tcW w:w="3049" w:type="dxa"/>
          </w:tcPr>
          <w:p w14:paraId="6CB5F26F" w14:textId="4AB4D282" w:rsidR="00FA460E" w:rsidRPr="00992FBD" w:rsidRDefault="00FA460E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lt-LT"/>
              </w:rPr>
              <w:t>Egzaminas</w:t>
            </w:r>
            <w:r w:rsidR="00E507A2" w:rsidRPr="00992FBD">
              <w:rPr>
                <w:rFonts w:ascii="Times New Roman" w:hAnsi="Times New Roman" w:cs="Times New Roman"/>
                <w:lang w:val="lt-LT"/>
              </w:rPr>
              <w:t xml:space="preserve"> (rašto darbo pristatymas)</w:t>
            </w:r>
          </w:p>
        </w:tc>
        <w:tc>
          <w:tcPr>
            <w:tcW w:w="887" w:type="dxa"/>
          </w:tcPr>
          <w:p w14:paraId="1B228BEE" w14:textId="3C0945A8" w:rsidR="00FA460E" w:rsidRPr="00992FBD" w:rsidRDefault="00992FBD" w:rsidP="00045543">
            <w:pPr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992FBD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386" w:type="dxa"/>
          </w:tcPr>
          <w:p w14:paraId="175EE9D4" w14:textId="28A61D6B" w:rsidR="00FA460E" w:rsidRPr="006203FF" w:rsidRDefault="00992FBD" w:rsidP="00045543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6203FF">
              <w:rPr>
                <w:rFonts w:ascii="Times New Roman" w:hAnsi="Times New Roman"/>
              </w:rPr>
              <w:t xml:space="preserve">Vertinamas gebėjimas </w:t>
            </w:r>
            <w:r w:rsidR="006203FF">
              <w:rPr>
                <w:rFonts w:ascii="Times New Roman" w:hAnsi="Times New Roman"/>
                <w:lang w:val="lt-LT"/>
              </w:rPr>
              <w:t xml:space="preserve">informatyviai ir patraukliai </w:t>
            </w:r>
            <w:r w:rsidRPr="006203FF">
              <w:rPr>
                <w:rFonts w:ascii="Times New Roman" w:hAnsi="Times New Roman"/>
              </w:rPr>
              <w:t xml:space="preserve">pristatyti </w:t>
            </w:r>
            <w:r w:rsidRPr="006203FF">
              <w:rPr>
                <w:rFonts w:ascii="Times New Roman" w:hAnsi="Times New Roman"/>
                <w:lang w:val="lt-LT"/>
              </w:rPr>
              <w:t>parašytą rašto darbą</w:t>
            </w:r>
            <w:r w:rsidR="006203FF">
              <w:rPr>
                <w:rFonts w:ascii="Times New Roman" w:hAnsi="Times New Roman"/>
                <w:lang w:val="lt-LT"/>
              </w:rPr>
              <w:t>, palydint vaizdinei medžiagai (skaidrėms); argumentuoti savo tezes,</w:t>
            </w:r>
            <w:r w:rsidRPr="006203FF">
              <w:rPr>
                <w:rFonts w:ascii="Times New Roman" w:hAnsi="Times New Roman"/>
              </w:rPr>
              <w:t xml:space="preserve"> apginti savo vertinimą.</w:t>
            </w:r>
          </w:p>
        </w:tc>
      </w:tr>
    </w:tbl>
    <w:p w14:paraId="56CC5A81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14:paraId="69BBF21A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78B8EF29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Privaloma literatūra</w:t>
            </w:r>
          </w:p>
        </w:tc>
      </w:tr>
      <w:tr w:rsidR="001E69B3" w14:paraId="2B3CEF01" w14:textId="77777777" w:rsidTr="00045543">
        <w:tc>
          <w:tcPr>
            <w:tcW w:w="9322" w:type="dxa"/>
          </w:tcPr>
          <w:p w14:paraId="6D4E7193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 w:right="278"/>
              <w:rPr>
                <w:rFonts w:asciiTheme="majorHAnsi" w:hAnsiTheme="majorHAnsi"/>
              </w:rPr>
            </w:pPr>
            <w:proofErr w:type="spellStart"/>
            <w:r w:rsidRPr="00E82D63">
              <w:rPr>
                <w:rFonts w:asciiTheme="majorHAnsi" w:hAnsiTheme="majorHAnsi"/>
                <w:lang w:val="en-US"/>
              </w:rPr>
              <w:t>Auslander</w:t>
            </w:r>
            <w:proofErr w:type="spellEnd"/>
            <w:r w:rsidRPr="00E82D63">
              <w:rPr>
                <w:rFonts w:asciiTheme="majorHAnsi" w:hAnsiTheme="majorHAnsi"/>
                <w:lang w:val="en-US"/>
              </w:rPr>
              <w:t xml:space="preserve">, Philip (1999). </w:t>
            </w:r>
            <w:r w:rsidRPr="00E82D63">
              <w:rPr>
                <w:rFonts w:asciiTheme="majorHAnsi" w:hAnsiTheme="majorHAnsi"/>
                <w:i/>
                <w:lang w:val="en-US"/>
              </w:rPr>
              <w:t>Liveness. Performance in a Mediatized Culture</w:t>
            </w:r>
            <w:r w:rsidRPr="00E82D63">
              <w:rPr>
                <w:rFonts w:asciiTheme="majorHAnsi" w:hAnsiTheme="majorHAnsi"/>
                <w:lang w:val="en-US"/>
              </w:rPr>
              <w:t>. London and New York: Routledge.</w:t>
            </w:r>
          </w:p>
          <w:p w14:paraId="7DE80992" w14:textId="77777777" w:rsidR="001E69B3" w:rsidRPr="00E82D63" w:rsidRDefault="001E69B3" w:rsidP="00E82D63">
            <w:pPr>
              <w:numPr>
                <w:ilvl w:val="0"/>
                <w:numId w:val="6"/>
              </w:numPr>
              <w:tabs>
                <w:tab w:val="left" w:pos="720"/>
              </w:tabs>
              <w:ind w:left="731" w:right="278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</w:rPr>
              <w:t xml:space="preserve">Clarke, Eric, and Nicholas Cook, eds. (2004). </w:t>
            </w:r>
            <w:r w:rsidRPr="00E82D63">
              <w:rPr>
                <w:rFonts w:asciiTheme="majorHAnsi" w:hAnsiTheme="majorHAnsi"/>
                <w:i/>
              </w:rPr>
              <w:t>Empirical Musicology: Aims, Methods, Prospects</w:t>
            </w:r>
            <w:r w:rsidRPr="00E82D63">
              <w:rPr>
                <w:rFonts w:asciiTheme="majorHAnsi" w:hAnsiTheme="majorHAnsi"/>
              </w:rPr>
              <w:t>. London: Oxford University Press.</w:t>
            </w:r>
          </w:p>
          <w:p w14:paraId="02D1234F" w14:textId="32E9EBF3" w:rsidR="001E69B3" w:rsidRPr="00E82D63" w:rsidRDefault="001E69B3" w:rsidP="00E82D63">
            <w:pPr>
              <w:numPr>
                <w:ilvl w:val="0"/>
                <w:numId w:val="6"/>
              </w:numPr>
              <w:tabs>
                <w:tab w:val="left" w:pos="720"/>
              </w:tabs>
              <w:ind w:left="731" w:right="278"/>
              <w:rPr>
                <w:rFonts w:asciiTheme="majorHAnsi" w:hAnsiTheme="majorHAnsi"/>
                <w:lang w:val="en"/>
              </w:rPr>
            </w:pPr>
            <w:r w:rsidRPr="00E82D63">
              <w:rPr>
                <w:rFonts w:asciiTheme="majorHAnsi" w:hAnsiTheme="majorHAnsi"/>
                <w:iCs/>
                <w:lang w:val="en"/>
              </w:rPr>
              <w:t>Cook, Nicholas</w:t>
            </w:r>
            <w:r w:rsidRPr="00E82D63">
              <w:rPr>
                <w:rFonts w:asciiTheme="majorHAnsi" w:hAnsiTheme="majorHAnsi"/>
                <w:lang w:val="en"/>
              </w:rPr>
              <w:t xml:space="preserve"> (</w:t>
            </w:r>
            <w:r w:rsidR="00E82D63" w:rsidRPr="00E82D63">
              <w:rPr>
                <w:rFonts w:asciiTheme="majorHAnsi" w:hAnsiTheme="majorHAnsi"/>
                <w:lang w:val="en"/>
              </w:rPr>
              <w:t>2014</w:t>
            </w:r>
            <w:r w:rsidRPr="00E82D63">
              <w:rPr>
                <w:rFonts w:asciiTheme="majorHAnsi" w:hAnsiTheme="majorHAnsi"/>
                <w:lang w:val="en"/>
              </w:rPr>
              <w:t>).</w:t>
            </w:r>
            <w:r w:rsidRPr="00E82D63">
              <w:rPr>
                <w:rFonts w:asciiTheme="majorHAnsi" w:hAnsiTheme="majorHAnsi"/>
                <w:i/>
                <w:iCs/>
                <w:lang w:val="en"/>
              </w:rPr>
              <w:t xml:space="preserve"> </w:t>
            </w:r>
            <w:r w:rsidR="00E82D63" w:rsidRPr="00E82D63">
              <w:rPr>
                <w:rFonts w:asciiTheme="majorHAnsi" w:hAnsiTheme="majorHAnsi"/>
                <w:i/>
              </w:rPr>
              <w:t>Beyond the Score: Music as Performance</w:t>
            </w:r>
            <w:r w:rsidRPr="00E82D63">
              <w:rPr>
                <w:rFonts w:asciiTheme="majorHAnsi" w:hAnsiTheme="majorHAnsi"/>
                <w:lang w:val="en"/>
              </w:rPr>
              <w:t xml:space="preserve">. </w:t>
            </w:r>
            <w:r w:rsidR="00E82D63" w:rsidRPr="00E82D63">
              <w:rPr>
                <w:rFonts w:asciiTheme="majorHAnsi" w:hAnsiTheme="majorHAnsi"/>
                <w:lang w:val="en-US"/>
              </w:rPr>
              <w:t>Oxford: Oxford University Press.</w:t>
            </w:r>
          </w:p>
          <w:p w14:paraId="02F0D283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</w:rPr>
              <w:t xml:space="preserve">Frith, Simon (1996). </w:t>
            </w:r>
            <w:r w:rsidRPr="00E82D63">
              <w:rPr>
                <w:rFonts w:asciiTheme="majorHAnsi" w:hAnsiTheme="majorHAnsi"/>
                <w:i/>
                <w:iCs/>
              </w:rPr>
              <w:t>Performing Rites. On the Value of Popular Music</w:t>
            </w:r>
            <w:r w:rsidRPr="00E82D63">
              <w:rPr>
                <w:rFonts w:asciiTheme="majorHAnsi" w:hAnsiTheme="majorHAnsi"/>
              </w:rPr>
              <w:t>. Oxford: Oxford University Press.</w:t>
            </w:r>
          </w:p>
          <w:p w14:paraId="09DBC8BE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en"/>
              </w:rPr>
              <w:t xml:space="preserve">Katkus, Donatas </w:t>
            </w:r>
            <w:r w:rsidRPr="00E82D63">
              <w:rPr>
                <w:rFonts w:asciiTheme="majorHAnsi" w:hAnsiTheme="majorHAnsi"/>
              </w:rPr>
              <w:t xml:space="preserve">(2006). </w:t>
            </w:r>
            <w:r w:rsidRPr="00E82D63">
              <w:rPr>
                <w:rFonts w:asciiTheme="majorHAnsi" w:hAnsiTheme="majorHAnsi"/>
                <w:i/>
              </w:rPr>
              <w:t>Muzikos atlikimas. Istorija. Teorijos. Stiliai. Interpretacijos</w:t>
            </w:r>
            <w:r w:rsidRPr="00E82D63">
              <w:rPr>
                <w:rFonts w:asciiTheme="majorHAnsi" w:hAnsiTheme="majorHAnsi"/>
              </w:rPr>
              <w:t>. Vilnius: Lietuvos muzikų sąjunga.</w:t>
            </w:r>
          </w:p>
          <w:p w14:paraId="4FB0D9E5" w14:textId="3B01A8CA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</w:rPr>
              <w:t xml:space="preserve">Kivy, Peter (1995). </w:t>
            </w:r>
            <w:r w:rsidRPr="00E82D63">
              <w:rPr>
                <w:rFonts w:asciiTheme="majorHAnsi" w:hAnsiTheme="majorHAnsi"/>
                <w:i/>
              </w:rPr>
              <w:t>Authenticities: Philosophical Reflections on Musical Performance</w:t>
            </w:r>
            <w:r w:rsidRPr="00E82D63">
              <w:rPr>
                <w:rFonts w:asciiTheme="majorHAnsi" w:hAnsiTheme="majorHAnsi"/>
              </w:rPr>
              <w:t>. Ithaca / London: Cornell University Press.</w:t>
            </w:r>
          </w:p>
          <w:p w14:paraId="49B51743" w14:textId="12284410" w:rsidR="00E507A2" w:rsidRPr="00E82D63" w:rsidRDefault="00E507A2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lt-LT"/>
              </w:rPr>
              <w:lastRenderedPageBreak/>
              <w:t xml:space="preserve">Navickaitė-Martinelli, Lina (2014). </w:t>
            </w:r>
            <w:r w:rsidR="00992FBD" w:rsidRPr="00E82D63">
              <w:rPr>
                <w:rFonts w:asciiTheme="majorHAnsi" w:hAnsiTheme="majorHAnsi"/>
                <w:i/>
              </w:rPr>
              <w:t>Piano Performance in a Semiotic Key : Society, Musical Canon and Novel Discourses</w:t>
            </w:r>
            <w:r w:rsidR="00992FBD" w:rsidRPr="00E82D63">
              <w:rPr>
                <w:rFonts w:asciiTheme="majorHAnsi" w:hAnsiTheme="majorHAnsi"/>
                <w:lang w:val="lt-LT"/>
              </w:rPr>
              <w:t xml:space="preserve">. </w:t>
            </w:r>
            <w:r w:rsidR="00992FBD" w:rsidRPr="00E82D63">
              <w:rPr>
                <w:rFonts w:asciiTheme="majorHAnsi" w:hAnsiTheme="majorHAnsi"/>
              </w:rPr>
              <w:t xml:space="preserve">Helsinki: Semiotic Society of Finland. Interneto prieiga: </w:t>
            </w:r>
            <w:hyperlink r:id="rId7" w:history="1">
              <w:r w:rsidR="006203FF" w:rsidRPr="00E82D63">
                <w:rPr>
                  <w:rStyle w:val="Hyperlink"/>
                  <w:rFonts w:asciiTheme="majorHAnsi" w:hAnsiTheme="majorHAnsi"/>
                </w:rPr>
                <w:t>https://helda.helsinki.fi/bitstream/handle/10138/136475/pianoper.pdf?sequence=1</w:t>
              </w:r>
            </w:hyperlink>
          </w:p>
          <w:p w14:paraId="4A4F92B3" w14:textId="4CA9C8D0" w:rsidR="006203FF" w:rsidRPr="00E82D63" w:rsidRDefault="006203FF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Rink, John (ed.) (2002). </w:t>
            </w:r>
            <w:r w:rsidRPr="00E82D63">
              <w:rPr>
                <w:rFonts w:asciiTheme="majorHAnsi" w:hAnsiTheme="majorHAnsi"/>
                <w:i/>
                <w:iCs/>
                <w:color w:val="171717"/>
                <w:shd w:val="clear" w:color="auto" w:fill="FFFFFF"/>
              </w:rPr>
              <w:t>Musical Performance: A Guide to Understanding</w:t>
            </w:r>
            <w:r w:rsidRPr="00E82D63">
              <w:rPr>
                <w:rFonts w:asciiTheme="majorHAnsi" w:hAnsiTheme="majorHAnsi"/>
                <w:iCs/>
                <w:color w:val="171717"/>
                <w:shd w:val="clear" w:color="auto" w:fill="FFFFFF"/>
                <w:lang w:val="lt-LT"/>
              </w:rPr>
              <w:t xml:space="preserve">. </w:t>
            </w:r>
            <w:r w:rsidRPr="00E82D63">
              <w:rPr>
                <w:rFonts w:asciiTheme="majorHAnsi" w:hAnsiTheme="majorHAnsi"/>
                <w:shd w:val="clear" w:color="auto" w:fill="FFFFFF"/>
              </w:rPr>
              <w:t>Cambridge: Cambridge University Press</w:t>
            </w:r>
            <w:r w:rsidRPr="00E82D63">
              <w:rPr>
                <w:rFonts w:asciiTheme="majorHAnsi" w:hAnsiTheme="majorHAnsi"/>
                <w:shd w:val="clear" w:color="auto" w:fill="FFFFFF"/>
                <w:lang w:val="lt-LT"/>
              </w:rPr>
              <w:t>.</w:t>
            </w:r>
          </w:p>
          <w:p w14:paraId="7ECA32F0" w14:textId="77777777" w:rsidR="006203FF" w:rsidRPr="00E82D63" w:rsidRDefault="006203FF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Rink, John (ed.) (2005). </w:t>
            </w:r>
            <w:r w:rsidRPr="00E82D63">
              <w:rPr>
                <w:rFonts w:asciiTheme="majorHAnsi" w:hAnsiTheme="majorHAnsi"/>
                <w:i/>
              </w:rPr>
              <w:t>The Practice of Performance:</w:t>
            </w:r>
            <w:r w:rsidRPr="00E82D63">
              <w:rPr>
                <w:rFonts w:asciiTheme="majorHAnsi" w:hAnsiTheme="majorHAnsi"/>
                <w:i/>
                <w:lang w:val="lt-LT"/>
              </w:rPr>
              <w:t xml:space="preserve"> </w:t>
            </w:r>
            <w:r w:rsidRPr="00E82D63">
              <w:rPr>
                <w:rFonts w:asciiTheme="majorHAnsi" w:hAnsiTheme="majorHAnsi"/>
                <w:i/>
              </w:rPr>
              <w:t>Studies in Musical Interpretation</w:t>
            </w:r>
            <w:r w:rsidRPr="00E82D63">
              <w:rPr>
                <w:rFonts w:asciiTheme="majorHAnsi" w:hAnsiTheme="majorHAnsi"/>
                <w:lang w:val="lt-LT"/>
              </w:rPr>
              <w:t xml:space="preserve">. </w:t>
            </w:r>
            <w:r w:rsidRPr="00E82D63">
              <w:rPr>
                <w:rFonts w:asciiTheme="majorHAnsi" w:hAnsiTheme="majorHAnsi"/>
                <w:shd w:val="clear" w:color="auto" w:fill="FFFFFF"/>
              </w:rPr>
              <w:t>Cambridge: Cambridge University Press</w:t>
            </w:r>
            <w:r w:rsidRPr="00E82D63">
              <w:rPr>
                <w:rFonts w:asciiTheme="majorHAnsi" w:hAnsiTheme="majorHAnsi"/>
                <w:shd w:val="clear" w:color="auto" w:fill="FFFFFF"/>
                <w:lang w:val="lt-LT"/>
              </w:rPr>
              <w:t>.</w:t>
            </w:r>
          </w:p>
          <w:p w14:paraId="4EA3FADC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 w:right="278"/>
              <w:rPr>
                <w:rFonts w:asciiTheme="majorHAnsi" w:hAnsiTheme="majorHAnsi"/>
                <w:lang w:val="en-US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Small, Christopher (1998). </w:t>
            </w:r>
            <w:r w:rsidRPr="00E82D63">
              <w:rPr>
                <w:rFonts w:asciiTheme="majorHAnsi" w:hAnsiTheme="majorHAnsi"/>
                <w:i/>
                <w:lang w:val="en-US"/>
              </w:rPr>
              <w:t>Musicking. The Meanings of Performing and Listening</w:t>
            </w:r>
            <w:r w:rsidRPr="00E82D63">
              <w:rPr>
                <w:rFonts w:asciiTheme="majorHAnsi" w:hAnsiTheme="majorHAnsi"/>
                <w:lang w:val="en-US"/>
              </w:rPr>
              <w:t>. Hanover and London: Wesleyan University Press.</w:t>
            </w:r>
          </w:p>
          <w:p w14:paraId="7A177DDD" w14:textId="77777777" w:rsidR="001E69B3" w:rsidRPr="00E82D63" w:rsidRDefault="001E69B3" w:rsidP="00E82D63">
            <w:pPr>
              <w:numPr>
                <w:ilvl w:val="0"/>
                <w:numId w:val="6"/>
              </w:numPr>
              <w:ind w:left="731"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 xml:space="preserve">Taruskin, Richard (1995). </w:t>
            </w:r>
            <w:r w:rsidRPr="00E82D63">
              <w:rPr>
                <w:rFonts w:asciiTheme="majorHAnsi" w:hAnsiTheme="majorHAnsi"/>
                <w:i/>
              </w:rPr>
              <w:t xml:space="preserve">Text </w:t>
            </w:r>
            <w:r w:rsidRPr="00E82D63">
              <w:rPr>
                <w:rFonts w:asciiTheme="majorHAnsi" w:hAnsiTheme="majorHAnsi"/>
                <w:i/>
                <w:lang w:val="en-US"/>
              </w:rPr>
              <w:t>&amp; Act. Essays on Music and Performance</w:t>
            </w:r>
            <w:r w:rsidRPr="00E82D63">
              <w:rPr>
                <w:rFonts w:asciiTheme="majorHAnsi" w:hAnsiTheme="majorHAnsi"/>
                <w:lang w:val="en-US"/>
              </w:rPr>
              <w:t>.</w:t>
            </w:r>
            <w:r w:rsidRPr="00E82D63">
              <w:rPr>
                <w:rFonts w:asciiTheme="majorHAnsi" w:hAnsiTheme="majorHAnsi"/>
                <w:i/>
              </w:rPr>
              <w:t xml:space="preserve"> </w:t>
            </w:r>
            <w:r w:rsidRPr="00E82D63">
              <w:rPr>
                <w:rFonts w:asciiTheme="majorHAnsi" w:hAnsiTheme="majorHAnsi"/>
              </w:rPr>
              <w:t>New York / Oxford: Oxford University Press.</w:t>
            </w:r>
          </w:p>
          <w:p w14:paraId="6C44ECCA" w14:textId="220A2418" w:rsidR="00E82D63" w:rsidRPr="00E507A2" w:rsidRDefault="00E82D63" w:rsidP="00E82D63">
            <w:pPr>
              <w:ind w:left="731"/>
              <w:rPr>
                <w:rFonts w:asciiTheme="majorHAnsi" w:hAnsiTheme="majorHAnsi"/>
                <w:lang w:val="lt-LT"/>
              </w:rPr>
            </w:pPr>
          </w:p>
        </w:tc>
      </w:tr>
      <w:tr w:rsidR="001E69B3" w14:paraId="1B9CD4A3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5BA9C94F" w14:textId="77777777" w:rsidR="001E69B3" w:rsidRPr="00045543" w:rsidRDefault="001E69B3" w:rsidP="00992FBD">
            <w:pPr>
              <w:spacing w:before="120" w:after="120"/>
              <w:ind w:left="589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lastRenderedPageBreak/>
              <w:t>Papildoma literatūra</w:t>
            </w:r>
          </w:p>
        </w:tc>
      </w:tr>
      <w:tr w:rsidR="001E69B3" w14:paraId="4E53D3EF" w14:textId="77777777" w:rsidTr="00045543">
        <w:tc>
          <w:tcPr>
            <w:tcW w:w="9322" w:type="dxa"/>
          </w:tcPr>
          <w:p w14:paraId="6A962B22" w14:textId="77777777" w:rsidR="001E69B3" w:rsidRDefault="001E69B3" w:rsidP="00992FBD">
            <w:pPr>
              <w:spacing w:before="120" w:after="120"/>
              <w:ind w:left="589"/>
              <w:contextualSpacing/>
              <w:rPr>
                <w:rFonts w:asciiTheme="majorHAnsi" w:hAnsiTheme="majorHAnsi"/>
                <w:lang w:val="lt-LT"/>
              </w:rPr>
            </w:pPr>
          </w:p>
          <w:p w14:paraId="5FB4C6FB" w14:textId="77777777" w:rsidR="00E82D63" w:rsidRPr="00E82D63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Bazzana, Kevin (1997).</w:t>
            </w:r>
            <w:r w:rsidRPr="00E82D63">
              <w:rPr>
                <w:rFonts w:asciiTheme="majorHAnsi" w:hAnsiTheme="majorHAnsi"/>
                <w:i/>
                <w:iCs/>
              </w:rPr>
              <w:t xml:space="preserve"> Glenn Gould: Performer in the Work (A Study in Performance Practice)</w:t>
            </w:r>
            <w:r w:rsidRPr="00E82D63">
              <w:rPr>
                <w:rFonts w:asciiTheme="majorHAnsi" w:hAnsiTheme="majorHAnsi"/>
              </w:rPr>
              <w:t>. Oxford: Clarendon Press.</w:t>
            </w:r>
          </w:p>
          <w:p w14:paraId="22DD88F9" w14:textId="1A94F62C" w:rsidR="00E82D63" w:rsidRPr="00E82D63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  <w:lang w:val="en-US"/>
              </w:rPr>
              <w:t xml:space="preserve">Bowen, Jose Antonio (2003). </w:t>
            </w:r>
            <w:r w:rsidRPr="00E82D63">
              <w:rPr>
                <w:rFonts w:asciiTheme="majorHAnsi" w:hAnsiTheme="majorHAnsi"/>
                <w:i/>
                <w:lang w:val="en-US"/>
              </w:rPr>
              <w:t>The Cambridge Companion to Conducting</w:t>
            </w:r>
            <w:r w:rsidRPr="00E82D63">
              <w:rPr>
                <w:rFonts w:asciiTheme="majorHAnsi" w:hAnsiTheme="majorHAnsi"/>
                <w:lang w:val="en-US"/>
              </w:rPr>
              <w:t>. Cambridge: Cambridge University Press.</w:t>
            </w:r>
          </w:p>
          <w:p w14:paraId="23DEDE41" w14:textId="13579AE2" w:rsidR="00E82D63" w:rsidRPr="00E82D63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Danuser, Hermann (1995).</w:t>
            </w:r>
            <w:r w:rsidRPr="00E82D63">
              <w:rPr>
                <w:rFonts w:asciiTheme="majorHAnsi" w:hAnsiTheme="majorHAnsi"/>
                <w:i/>
              </w:rPr>
              <w:t xml:space="preserve"> Musikalische Interpretation</w:t>
            </w:r>
            <w:r w:rsidRPr="00E82D63">
              <w:rPr>
                <w:rFonts w:asciiTheme="majorHAnsi" w:hAnsiTheme="majorHAnsi"/>
              </w:rPr>
              <w:t>. Laaber: Laaber Verlag.</w:t>
            </w:r>
          </w:p>
          <w:p w14:paraId="6901D0C2" w14:textId="191709C7" w:rsidR="00E82D63" w:rsidRPr="00E82D63" w:rsidRDefault="00E507A2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Cone, Edward T. (</w:t>
            </w:r>
            <w:r w:rsidRPr="00E82D63">
              <w:rPr>
                <w:rFonts w:asciiTheme="majorHAnsi" w:hAnsiTheme="majorHAnsi"/>
                <w:lang w:val="en-US"/>
              </w:rPr>
              <w:t xml:space="preserve">1968). </w:t>
            </w:r>
            <w:r w:rsidRPr="00E82D63">
              <w:rPr>
                <w:rFonts w:asciiTheme="majorHAnsi" w:hAnsiTheme="majorHAnsi"/>
                <w:i/>
                <w:lang w:val="en-US"/>
              </w:rPr>
              <w:t>Musical Form and Musical Performance</w:t>
            </w:r>
            <w:r w:rsidRPr="00E82D63">
              <w:rPr>
                <w:rFonts w:asciiTheme="majorHAnsi" w:hAnsiTheme="majorHAnsi"/>
                <w:lang w:val="en-US"/>
              </w:rPr>
              <w:t>. New Haven, Conn.: Yale University Press.</w:t>
            </w:r>
          </w:p>
          <w:p w14:paraId="1D9B763D" w14:textId="6C6C6332" w:rsidR="00E82D63" w:rsidRPr="008B58B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 xml:space="preserve">Dunsby, Jonathan (1995). </w:t>
            </w:r>
            <w:r w:rsidRPr="00E82D63">
              <w:rPr>
                <w:rFonts w:asciiTheme="majorHAnsi" w:hAnsiTheme="majorHAnsi"/>
                <w:i/>
              </w:rPr>
              <w:t>Performing Music. Shared Concerns</w:t>
            </w:r>
            <w:r w:rsidRPr="00E82D63">
              <w:rPr>
                <w:rFonts w:asciiTheme="majorHAnsi" w:hAnsiTheme="majorHAnsi"/>
              </w:rPr>
              <w:t>. Oxford: Clarendon Press.</w:t>
            </w:r>
          </w:p>
          <w:p w14:paraId="15265E97" w14:textId="6DC3498B" w:rsidR="008B58BB" w:rsidRPr="008B58BB" w:rsidRDefault="008B58BB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right="278" w:hanging="284"/>
              <w:contextualSpacing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</w:rPr>
              <w:t xml:space="preserve">Hellaby, Julian (2009). </w:t>
            </w:r>
            <w:r w:rsidRPr="008B58BB">
              <w:rPr>
                <w:rFonts w:asciiTheme="majorHAnsi" w:hAnsiTheme="majorHAnsi" w:cs="Arial"/>
                <w:i/>
                <w:shd w:val="clear" w:color="auto" w:fill="FFFFFF"/>
              </w:rPr>
              <w:t>Reading Musical Interpretation: Case Studies in Solo Piano Performance</w:t>
            </w:r>
            <w:r w:rsidRPr="008B58BB">
              <w:rPr>
                <w:rFonts w:asciiTheme="majorHAnsi" w:hAnsiTheme="majorHAnsi" w:cs="Arial"/>
                <w:shd w:val="clear" w:color="auto" w:fill="FFFFFF"/>
                <w:lang w:val="lt-LT"/>
              </w:rPr>
              <w:t>. Routledge.</w:t>
            </w:r>
          </w:p>
          <w:p w14:paraId="0AC273DB" w14:textId="14EF0D72" w:rsidR="00E82D63" w:rsidRPr="008B58BB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Theme="majorHAnsi" w:hAnsiTheme="majorHAnsi"/>
                <w:lang w:val="lt-LT"/>
              </w:rPr>
            </w:pPr>
            <w:r w:rsidRPr="00E82D63">
              <w:rPr>
                <w:rFonts w:asciiTheme="majorHAnsi" w:hAnsiTheme="majorHAnsi"/>
              </w:rPr>
              <w:t>Leech-Wilkinson, Daniel</w:t>
            </w:r>
            <w:r w:rsidRPr="00E82D63">
              <w:rPr>
                <w:rFonts w:asciiTheme="majorHAnsi" w:hAnsiTheme="majorHAnsi"/>
                <w:lang w:val="lt-LT"/>
              </w:rPr>
              <w:t xml:space="preserve"> (2009). </w:t>
            </w:r>
            <w:r w:rsidRPr="00E82D63">
              <w:rPr>
                <w:rFonts w:asciiTheme="majorHAnsi" w:hAnsiTheme="majorHAnsi"/>
                <w:i/>
              </w:rPr>
              <w:t>The Changing Sound of Music: Approaches to Studying Recorded Musical</w:t>
            </w:r>
            <w:r w:rsidRPr="00E82D63">
              <w:rPr>
                <w:rFonts w:asciiTheme="majorHAnsi" w:hAnsiTheme="majorHAnsi"/>
                <w:i/>
                <w:lang w:val="lt-LT"/>
              </w:rPr>
              <w:t xml:space="preserve"> </w:t>
            </w:r>
            <w:r w:rsidRPr="00E82D63">
              <w:rPr>
                <w:rFonts w:asciiTheme="majorHAnsi" w:hAnsiTheme="majorHAnsi"/>
                <w:i/>
              </w:rPr>
              <w:t>Performance</w:t>
            </w:r>
            <w:r w:rsidRPr="00E82D63">
              <w:rPr>
                <w:rFonts w:asciiTheme="majorHAnsi" w:hAnsiTheme="majorHAnsi"/>
                <w:lang w:val="lt-LT"/>
              </w:rPr>
              <w:t xml:space="preserve">. </w:t>
            </w:r>
            <w:r w:rsidRPr="00E82D63">
              <w:rPr>
                <w:rFonts w:asciiTheme="majorHAnsi" w:hAnsiTheme="majorHAnsi"/>
              </w:rPr>
              <w:t xml:space="preserve">London: CHARM. Interneto prieiga: </w:t>
            </w:r>
            <w:hyperlink r:id="rId8" w:history="1">
              <w:r w:rsidRPr="00E82D63">
                <w:rPr>
                  <w:rStyle w:val="Hyperlink"/>
                  <w:rFonts w:asciiTheme="majorHAnsi" w:hAnsiTheme="majorHAnsi"/>
                </w:rPr>
                <w:t>http://www.charm.rhul.ac.uk/studies/chapters/intro.html</w:t>
              </w:r>
            </w:hyperlink>
          </w:p>
          <w:p w14:paraId="31E38989" w14:textId="7BC26A13" w:rsidR="008B58BB" w:rsidRPr="00E82D63" w:rsidRDefault="008B58BB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 xml:space="preserve">Rink, John, Helena Gaunt and Aaron Williamon (eds.) (2017). </w:t>
            </w:r>
            <w:r w:rsidRPr="008B58BB">
              <w:rPr>
                <w:rFonts w:asciiTheme="majorHAnsi" w:hAnsiTheme="majorHAnsi"/>
                <w:i/>
                <w:lang w:val="lt-LT"/>
              </w:rPr>
              <w:t>Musicians in the Making: Pathways to Creative Performance</w:t>
            </w:r>
            <w:r>
              <w:rPr>
                <w:rFonts w:asciiTheme="majorHAnsi" w:hAnsiTheme="majorHAnsi"/>
                <w:lang w:val="lt-LT"/>
              </w:rPr>
              <w:t>. New York: Oxford University Press.</w:t>
            </w:r>
          </w:p>
          <w:p w14:paraId="3F849B72" w14:textId="1818CECE" w:rsidR="001E69B3" w:rsidRPr="00E82D63" w:rsidRDefault="00E82D63" w:rsidP="00E82D63">
            <w:pPr>
              <w:numPr>
                <w:ilvl w:val="0"/>
                <w:numId w:val="7"/>
              </w:numPr>
              <w:tabs>
                <w:tab w:val="left" w:pos="731"/>
              </w:tabs>
              <w:spacing w:before="120" w:after="120"/>
              <w:ind w:left="589" w:hanging="284"/>
              <w:contextualSpacing/>
              <w:rPr>
                <w:rFonts w:asciiTheme="majorHAnsi" w:hAnsiTheme="majorHAnsi"/>
                <w:lang w:val="lt-LT"/>
              </w:rPr>
            </w:pPr>
            <w:proofErr w:type="spellStart"/>
            <w:r w:rsidRPr="00E82D63">
              <w:rPr>
                <w:rFonts w:asciiTheme="majorHAnsi" w:hAnsiTheme="majorHAnsi"/>
                <w:lang w:val="en-US"/>
              </w:rPr>
              <w:t>Williamon</w:t>
            </w:r>
            <w:proofErr w:type="spellEnd"/>
            <w:r w:rsidRPr="00E82D63">
              <w:rPr>
                <w:rFonts w:asciiTheme="majorHAnsi" w:hAnsiTheme="majorHAnsi"/>
                <w:lang w:val="en-US"/>
              </w:rPr>
              <w:t xml:space="preserve">, Aaron, ed. (2004). </w:t>
            </w:r>
            <w:r w:rsidRPr="00E82D63">
              <w:rPr>
                <w:rFonts w:asciiTheme="majorHAnsi" w:hAnsiTheme="majorHAnsi"/>
                <w:i/>
                <w:lang w:val="en-US"/>
              </w:rPr>
              <w:t>Musical Excellence: Strategies and Techniques to Enhance Performance</w:t>
            </w:r>
            <w:r w:rsidRPr="00E82D63">
              <w:rPr>
                <w:rFonts w:asciiTheme="majorHAnsi" w:hAnsiTheme="majorHAnsi"/>
                <w:lang w:val="en-US"/>
              </w:rPr>
              <w:t>. London: Oxford University Press.</w:t>
            </w:r>
          </w:p>
          <w:p w14:paraId="5D4C2C7E" w14:textId="77777777" w:rsidR="001E69B3" w:rsidRDefault="001E69B3" w:rsidP="00992FBD">
            <w:pPr>
              <w:spacing w:before="120" w:after="120"/>
              <w:ind w:left="589"/>
              <w:contextualSpacing/>
              <w:rPr>
                <w:rFonts w:asciiTheme="majorHAnsi" w:hAnsiTheme="majorHAnsi"/>
                <w:lang w:val="lt-LT"/>
              </w:rPr>
            </w:pPr>
          </w:p>
        </w:tc>
      </w:tr>
    </w:tbl>
    <w:p w14:paraId="00F662D3" w14:textId="77777777" w:rsidR="0009190B" w:rsidRDefault="0009190B">
      <w:pPr>
        <w:rPr>
          <w:rFonts w:asciiTheme="majorHAnsi" w:hAnsiTheme="majorHAnsi"/>
          <w:lang w:val="lt-LT"/>
        </w:rPr>
      </w:pPr>
    </w:p>
    <w:p w14:paraId="23371ADC" w14:textId="77777777" w:rsidR="00A00A22" w:rsidRDefault="00A00A22" w:rsidP="00A00A22">
      <w:pPr>
        <w:jc w:val="right"/>
        <w:rPr>
          <w:rFonts w:eastAsia="Calibri"/>
        </w:rPr>
      </w:pPr>
      <w:r>
        <w:rPr>
          <w:rFonts w:asciiTheme="majorHAnsi" w:hAnsiTheme="majorHAnsi"/>
          <w:lang w:val="lt-LT"/>
        </w:rPr>
        <w:t xml:space="preserve">Patvirtinta doktorantūros komitete: </w:t>
      </w:r>
      <w:r>
        <w:rPr>
          <w:rFonts w:eastAsia="Calibri"/>
        </w:rPr>
        <w:t xml:space="preserve">2018 m. lapkričio 28 d. </w:t>
      </w:r>
    </w:p>
    <w:p w14:paraId="5657E650" w14:textId="65199240" w:rsidR="00CC4254" w:rsidRDefault="00115961" w:rsidP="00E65D0B">
      <w:pPr>
        <w:jc w:val="right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ab/>
      </w:r>
    </w:p>
    <w:p w14:paraId="052B6DDC" w14:textId="77777777" w:rsidR="00CC4254" w:rsidRDefault="00CC4254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6E22442C" w14:textId="77777777" w:rsidR="00CC4254" w:rsidRDefault="00CC4254">
      <w:pPr>
        <w:rPr>
          <w:rFonts w:asciiTheme="majorHAnsi" w:hAnsiTheme="majorHAnsi"/>
          <w:lang w:val="lt-LT"/>
        </w:rPr>
      </w:pPr>
    </w:p>
    <w:p w14:paraId="339E2F1E" w14:textId="77777777" w:rsidR="00AA71DB" w:rsidRDefault="00AA71DB">
      <w:pPr>
        <w:rPr>
          <w:rFonts w:asciiTheme="majorHAnsi" w:hAnsiTheme="majorHAnsi"/>
          <w:lang w:val="lt-LT"/>
        </w:rPr>
      </w:pPr>
    </w:p>
    <w:p w14:paraId="5682515D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317"/>
    <w:multiLevelType w:val="hybridMultilevel"/>
    <w:tmpl w:val="B93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AA9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F08D1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B62CC"/>
    <w:multiLevelType w:val="hybridMultilevel"/>
    <w:tmpl w:val="E546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7C6"/>
    <w:multiLevelType w:val="hybridMultilevel"/>
    <w:tmpl w:val="093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3A74"/>
    <w:multiLevelType w:val="hybridMultilevel"/>
    <w:tmpl w:val="552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3992"/>
    <w:multiLevelType w:val="hybridMultilevel"/>
    <w:tmpl w:val="CB1A62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312DD"/>
    <w:multiLevelType w:val="hybridMultilevel"/>
    <w:tmpl w:val="6B725DF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C68C4"/>
    <w:multiLevelType w:val="hybridMultilevel"/>
    <w:tmpl w:val="E4D8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2968"/>
    <w:rsid w:val="00002DD7"/>
    <w:rsid w:val="00045543"/>
    <w:rsid w:val="0009190B"/>
    <w:rsid w:val="00115961"/>
    <w:rsid w:val="00165939"/>
    <w:rsid w:val="001E69B3"/>
    <w:rsid w:val="002642D9"/>
    <w:rsid w:val="002D40A4"/>
    <w:rsid w:val="00352BAF"/>
    <w:rsid w:val="003A1C35"/>
    <w:rsid w:val="003E7C58"/>
    <w:rsid w:val="004624BF"/>
    <w:rsid w:val="004728BF"/>
    <w:rsid w:val="004A49D2"/>
    <w:rsid w:val="00617BDF"/>
    <w:rsid w:val="006203FF"/>
    <w:rsid w:val="006467A1"/>
    <w:rsid w:val="0067060D"/>
    <w:rsid w:val="006D0526"/>
    <w:rsid w:val="00741213"/>
    <w:rsid w:val="008B58BB"/>
    <w:rsid w:val="00992FBD"/>
    <w:rsid w:val="009A03AE"/>
    <w:rsid w:val="00A00A22"/>
    <w:rsid w:val="00A164E1"/>
    <w:rsid w:val="00A74EA0"/>
    <w:rsid w:val="00AA71DB"/>
    <w:rsid w:val="00B35061"/>
    <w:rsid w:val="00BC1A82"/>
    <w:rsid w:val="00C77BBC"/>
    <w:rsid w:val="00CC4254"/>
    <w:rsid w:val="00D568BC"/>
    <w:rsid w:val="00DF5DF9"/>
    <w:rsid w:val="00E507A2"/>
    <w:rsid w:val="00E65D0B"/>
    <w:rsid w:val="00E82D63"/>
    <w:rsid w:val="00E91273"/>
    <w:rsid w:val="00EA18D9"/>
    <w:rsid w:val="00EE04E5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16B009F"/>
  <w15:docId w15:val="{CF0ED8A1-B23E-409B-A8BA-69E2E9D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paragraph" w:customStyle="1" w:styleId="Default">
    <w:name w:val="Default"/>
    <w:rsid w:val="00D56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62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m.rhul.ac.uk/studies/chapters/int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da.helsinki.fi/bitstream/handle/10138/136475/pianoper.pdf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5759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 Žukienė</dc:creator>
  <cp:lastModifiedBy>Daiva Buivydienė</cp:lastModifiedBy>
  <cp:revision>12</cp:revision>
  <dcterms:created xsi:type="dcterms:W3CDTF">2018-11-21T09:01:00Z</dcterms:created>
  <dcterms:modified xsi:type="dcterms:W3CDTF">2019-06-03T05:19:00Z</dcterms:modified>
</cp:coreProperties>
</file>