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3468B" w14:textId="77777777" w:rsidR="00A164E1" w:rsidRPr="002642D9" w:rsidRDefault="007025D2" w:rsidP="002642D9">
      <w:pPr>
        <w:rPr>
          <w:rFonts w:asciiTheme="majorHAnsi" w:hAnsiTheme="majorHAnsi"/>
          <w:sz w:val="24"/>
          <w:szCs w:val="24"/>
          <w:lang w:val="lt-LT"/>
        </w:rPr>
      </w:pPr>
      <w:r>
        <w:rPr>
          <w:rFonts w:asciiTheme="majorHAnsi" w:hAnsiTheme="majorHAnsi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A5FEC" wp14:editId="20DEB2EF">
                <wp:simplePos x="0" y="0"/>
                <wp:positionH relativeFrom="column">
                  <wp:posOffset>4248785</wp:posOffset>
                </wp:positionH>
                <wp:positionV relativeFrom="paragraph">
                  <wp:posOffset>-483870</wp:posOffset>
                </wp:positionV>
                <wp:extent cx="1442085" cy="1358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34F45" w14:textId="77777777" w:rsidR="002642D9" w:rsidRDefault="002642D9">
                            <w:pPr>
                              <w:rPr>
                                <w:lang w:val="lt-LT"/>
                              </w:rPr>
                            </w:pPr>
                            <w:r w:rsidRPr="002642D9">
                              <w:rPr>
                                <w:noProof/>
                                <w:lang w:val="lt-LT" w:eastAsia="lt-LT"/>
                              </w:rPr>
                              <w:drawing>
                                <wp:inline distT="0" distB="0" distL="0" distR="0" wp14:anchorId="478A2452" wp14:editId="19A040EC">
                                  <wp:extent cx="1249680" cy="1249680"/>
                                  <wp:effectExtent l="19050" t="0" r="7620" b="0"/>
                                  <wp:docPr id="2" name="Paveikslėlis 8" descr="\\andante\usersdata$\judita.zukiene\Desktop\LMTA\LMTA logo.ph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\\andante\usersdata$\judita.zukiene\Desktop\LMTA\LMTA logo.ph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680" cy="1249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1A0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55pt;margin-top:-38.1pt;width:113.55pt;height:1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" stroked="f">
                <v:textbox>
                  <w:txbxContent>
                    <w:p w:rsidR="002642D9" w:rsidRDefault="002642D9">
                      <w:pPr>
                        <w:rPr>
                          <w:lang w:val="lt-LT"/>
                        </w:rPr>
                      </w:pPr>
                      <w:r w:rsidRPr="002642D9">
                        <w:rPr>
                          <w:noProof/>
                          <w:lang w:val="lt-LT" w:eastAsia="lt-LT"/>
                        </w:rPr>
                        <w:drawing>
                          <wp:inline distT="0" distB="0" distL="0" distR="0">
                            <wp:extent cx="1249680" cy="1249680"/>
                            <wp:effectExtent l="19050" t="0" r="7620" b="0"/>
                            <wp:docPr id="2" name="Paveikslėlis 8" descr="\\andante\usersdata$\judita.zukiene\Desktop\LMTA\LMTA logo.ph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\\andante\usersdata$\judita.zukiene\Desktop\LMTA\LMTA logo.ph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9680" cy="1249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42D9" w:rsidRPr="002642D9">
        <w:rPr>
          <w:rFonts w:asciiTheme="majorHAnsi" w:hAnsiTheme="majorHAnsi"/>
          <w:sz w:val="24"/>
          <w:szCs w:val="24"/>
          <w:lang w:val="lt-LT"/>
        </w:rPr>
        <w:t>LIETUVOS MUZIKOS IR TEATRO AKADEMIJA</w:t>
      </w:r>
    </w:p>
    <w:p w14:paraId="65760508" w14:textId="77777777" w:rsidR="002642D9" w:rsidRPr="002642D9" w:rsidRDefault="002642D9" w:rsidP="002642D9">
      <w:pPr>
        <w:rPr>
          <w:rFonts w:asciiTheme="majorHAnsi" w:hAnsiTheme="majorHAnsi"/>
          <w:sz w:val="24"/>
          <w:szCs w:val="24"/>
          <w:lang w:val="lt-LT"/>
        </w:rPr>
      </w:pPr>
      <w:r w:rsidRPr="002642D9">
        <w:rPr>
          <w:rFonts w:asciiTheme="majorHAnsi" w:hAnsiTheme="majorHAnsi"/>
          <w:sz w:val="24"/>
          <w:szCs w:val="24"/>
          <w:lang w:val="lt-LT"/>
        </w:rPr>
        <w:t>DOKTORANTŪROS DALYKO APRAŠAS</w:t>
      </w:r>
    </w:p>
    <w:p w14:paraId="7BABE922" w14:textId="77777777" w:rsidR="002642D9" w:rsidRDefault="002642D9">
      <w:pPr>
        <w:rPr>
          <w:rFonts w:asciiTheme="majorHAnsi" w:hAnsiTheme="majorHAnsi"/>
          <w:lang w:val="lt-LT"/>
        </w:rPr>
      </w:pPr>
    </w:p>
    <w:p w14:paraId="0D1BA668" w14:textId="77777777" w:rsidR="002642D9" w:rsidRDefault="002642D9">
      <w:pPr>
        <w:rPr>
          <w:rFonts w:asciiTheme="majorHAnsi" w:hAnsiTheme="majorHAnsi"/>
          <w:lang w:val="lt-LT"/>
        </w:rPr>
      </w:pPr>
    </w:p>
    <w:p w14:paraId="78CB8A5E" w14:textId="77777777" w:rsidR="00AA71DB" w:rsidRDefault="00AA71DB">
      <w:pPr>
        <w:rPr>
          <w:rFonts w:asciiTheme="majorHAnsi" w:hAnsiTheme="majorHAnsi"/>
          <w:lang w:val="lt-LT"/>
        </w:rPr>
      </w:pPr>
    </w:p>
    <w:p w14:paraId="338826E5" w14:textId="77777777" w:rsidR="002642D9" w:rsidRPr="00262043" w:rsidRDefault="002642D9">
      <w:pPr>
        <w:rPr>
          <w:rFonts w:ascii="Times New Roman" w:hAnsi="Times New Roman" w:cs="Times New Roman"/>
          <w:lang w:val="lt-LT"/>
        </w:rPr>
      </w:pPr>
      <w:r w:rsidRPr="0009190B">
        <w:rPr>
          <w:rFonts w:asciiTheme="majorHAnsi" w:hAnsiTheme="majorHAnsi"/>
          <w:b/>
          <w:lang w:val="lt-LT"/>
        </w:rPr>
        <w:t>Doktorantūros programa:</w:t>
      </w:r>
      <w:r w:rsidR="00AA71DB" w:rsidRPr="0009190B">
        <w:rPr>
          <w:rFonts w:asciiTheme="majorHAnsi" w:hAnsiTheme="majorHAnsi"/>
          <w:b/>
          <w:lang w:val="lt-LT"/>
        </w:rPr>
        <w:t xml:space="preserve"> </w:t>
      </w:r>
      <w:r w:rsidR="00CC4254" w:rsidRPr="0009190B">
        <w:rPr>
          <w:rFonts w:ascii="Times New Roman" w:hAnsi="Times New Roman" w:cs="Times New Roman"/>
          <w:lang w:val="lt-LT"/>
        </w:rPr>
        <w:t xml:space="preserve">Meno doktorantūra, </w:t>
      </w:r>
      <w:r w:rsidR="00CC4254" w:rsidRPr="00262043">
        <w:rPr>
          <w:rFonts w:ascii="Times New Roman" w:hAnsi="Times New Roman" w:cs="Times New Roman"/>
          <w:lang w:val="lt-LT"/>
        </w:rPr>
        <w:t>Muzika</w:t>
      </w:r>
      <w:r w:rsidR="00262043">
        <w:rPr>
          <w:rFonts w:ascii="Times New Roman" w:hAnsi="Times New Roman" w:cs="Times New Roman"/>
          <w:lang w:val="lt-LT"/>
        </w:rPr>
        <w:t xml:space="preserve"> /</w:t>
      </w:r>
      <w:r w:rsidR="00262043" w:rsidRPr="00262043">
        <w:rPr>
          <w:rFonts w:ascii="Times New Roman" w:hAnsi="Times New Roman" w:cs="Times New Roman"/>
          <w:lang w:val="lt-LT"/>
        </w:rPr>
        <w:t xml:space="preserve"> Teatras ir kinas</w:t>
      </w:r>
    </w:p>
    <w:p w14:paraId="0948E4A7" w14:textId="77777777" w:rsidR="002642D9" w:rsidRPr="00262043" w:rsidRDefault="002642D9">
      <w:pPr>
        <w:rPr>
          <w:rFonts w:cstheme="minorHAnsi"/>
          <w:lang w:val="lt-LT"/>
        </w:rPr>
      </w:pPr>
      <w:r w:rsidRPr="0009190B">
        <w:rPr>
          <w:rFonts w:asciiTheme="majorHAnsi" w:hAnsiTheme="majorHAnsi"/>
          <w:b/>
          <w:lang w:val="lt-LT"/>
        </w:rPr>
        <w:t>Dalyko pavadinimas:</w:t>
      </w:r>
      <w:r w:rsidR="00AA71DB" w:rsidRPr="0009190B">
        <w:rPr>
          <w:rFonts w:asciiTheme="majorHAnsi" w:hAnsiTheme="majorHAnsi"/>
          <w:b/>
          <w:lang w:val="lt-LT"/>
        </w:rPr>
        <w:t xml:space="preserve"> </w:t>
      </w:r>
      <w:r w:rsidR="00262043">
        <w:rPr>
          <w:rFonts w:asciiTheme="majorHAnsi" w:hAnsiTheme="majorHAnsi"/>
          <w:lang w:val="lt-LT"/>
        </w:rPr>
        <w:t>Meninių tyrimų metodologija</w:t>
      </w:r>
    </w:p>
    <w:p w14:paraId="4C789CC1" w14:textId="627E7483" w:rsidR="002642D9" w:rsidRDefault="002642D9">
      <w:pPr>
        <w:rPr>
          <w:rFonts w:asciiTheme="majorHAnsi" w:hAnsiTheme="majorHAnsi"/>
          <w:b/>
          <w:lang w:val="lt-LT"/>
        </w:rPr>
      </w:pPr>
      <w:r w:rsidRPr="0009190B">
        <w:rPr>
          <w:rFonts w:asciiTheme="majorHAnsi" w:hAnsiTheme="majorHAnsi"/>
          <w:b/>
          <w:lang w:val="lt-LT"/>
        </w:rPr>
        <w:t>Dalyko apimtis (ECTS):</w:t>
      </w:r>
      <w:r w:rsidR="00AA71DB" w:rsidRPr="0009190B">
        <w:rPr>
          <w:rFonts w:asciiTheme="majorHAnsi" w:hAnsiTheme="majorHAnsi"/>
          <w:b/>
          <w:lang w:val="lt-LT"/>
        </w:rPr>
        <w:t xml:space="preserve"> </w:t>
      </w:r>
      <w:r w:rsidR="00F0334E">
        <w:rPr>
          <w:rFonts w:asciiTheme="majorHAnsi" w:hAnsiTheme="majorHAnsi"/>
          <w:b/>
          <w:lang w:val="lt-LT"/>
        </w:rPr>
        <w:t>8</w:t>
      </w:r>
    </w:p>
    <w:p w14:paraId="4A2279E5" w14:textId="77777777" w:rsidR="006467A1" w:rsidRPr="00262043" w:rsidRDefault="006467A1">
      <w:pPr>
        <w:rPr>
          <w:rFonts w:cstheme="minorHAnsi"/>
          <w:lang w:val="lt-LT"/>
        </w:rPr>
      </w:pPr>
      <w:r>
        <w:rPr>
          <w:rFonts w:asciiTheme="majorHAnsi" w:hAnsiTheme="majorHAnsi"/>
          <w:b/>
          <w:lang w:val="lt-LT"/>
        </w:rPr>
        <w:t xml:space="preserve">Dėstymo kalba: </w:t>
      </w:r>
      <w:r w:rsidR="00262043">
        <w:rPr>
          <w:rFonts w:asciiTheme="majorHAnsi" w:hAnsiTheme="majorHAnsi"/>
          <w:lang w:val="lt-LT"/>
        </w:rPr>
        <w:t>lietuvių</w:t>
      </w:r>
    </w:p>
    <w:p w14:paraId="27AB219B" w14:textId="77777777" w:rsidR="002642D9" w:rsidRPr="00262043" w:rsidRDefault="002642D9" w:rsidP="00CC4254">
      <w:pPr>
        <w:spacing w:after="360"/>
        <w:rPr>
          <w:rFonts w:cstheme="minorHAnsi"/>
          <w:lang w:val="lt-LT"/>
        </w:rPr>
      </w:pPr>
      <w:r w:rsidRPr="0009190B">
        <w:rPr>
          <w:rFonts w:asciiTheme="majorHAnsi" w:hAnsiTheme="majorHAnsi"/>
          <w:b/>
          <w:lang w:val="lt-LT"/>
        </w:rPr>
        <w:t>Dėstytojas:</w:t>
      </w:r>
      <w:r w:rsidR="00AA71DB" w:rsidRPr="0009190B">
        <w:rPr>
          <w:rFonts w:asciiTheme="majorHAnsi" w:hAnsiTheme="majorHAnsi"/>
          <w:b/>
          <w:lang w:val="lt-LT"/>
        </w:rPr>
        <w:t xml:space="preserve"> </w:t>
      </w:r>
      <w:r w:rsidR="00262043">
        <w:rPr>
          <w:rFonts w:asciiTheme="majorHAnsi" w:hAnsiTheme="majorHAnsi"/>
          <w:lang w:val="lt-LT"/>
        </w:rPr>
        <w:t>doc. dr. Judita Žukienė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A71DB" w:rsidRPr="008C7767" w14:paraId="6B954ADB" w14:textId="77777777" w:rsidTr="00165939">
        <w:tc>
          <w:tcPr>
            <w:tcW w:w="9322" w:type="dxa"/>
            <w:shd w:val="clear" w:color="auto" w:fill="D9D9D9" w:themeFill="background1" w:themeFillShade="D9"/>
          </w:tcPr>
          <w:p w14:paraId="6B3501DC" w14:textId="77777777" w:rsidR="00AA71DB" w:rsidRPr="00262043" w:rsidRDefault="00AA71DB" w:rsidP="00EE04E5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09190B">
              <w:rPr>
                <w:rFonts w:asciiTheme="majorHAnsi" w:hAnsiTheme="majorHAnsi"/>
                <w:b/>
                <w:lang w:val="lt-LT"/>
              </w:rPr>
              <w:t>Dalyko anotacija</w:t>
            </w:r>
            <w:r w:rsidR="00002DD7">
              <w:rPr>
                <w:rFonts w:asciiTheme="majorHAnsi" w:hAnsiTheme="majorHAnsi"/>
                <w:b/>
                <w:lang w:val="lt-LT"/>
              </w:rPr>
              <w:t xml:space="preserve"> </w:t>
            </w:r>
            <w:r w:rsidR="00002DD7">
              <w:rPr>
                <w:rFonts w:asciiTheme="majorHAnsi" w:hAnsiTheme="majorHAnsi"/>
                <w:sz w:val="20"/>
                <w:szCs w:val="20"/>
                <w:lang w:val="lt-LT"/>
              </w:rPr>
              <w:t xml:space="preserve">(iki </w:t>
            </w:r>
            <w:r w:rsidR="00617BDF">
              <w:rPr>
                <w:rFonts w:asciiTheme="majorHAnsi" w:hAnsiTheme="majorHAnsi"/>
                <w:sz w:val="20"/>
                <w:szCs w:val="20"/>
                <w:lang w:val="lt-LT"/>
              </w:rPr>
              <w:t>500 sp. ž.)</w:t>
            </w:r>
          </w:p>
        </w:tc>
      </w:tr>
      <w:tr w:rsidR="00AA71DB" w:rsidRPr="008C7767" w14:paraId="2D2417CC" w14:textId="77777777" w:rsidTr="00165939">
        <w:tc>
          <w:tcPr>
            <w:tcW w:w="9322" w:type="dxa"/>
          </w:tcPr>
          <w:p w14:paraId="5965B02A" w14:textId="77777777" w:rsidR="0009190B" w:rsidRDefault="003613F7" w:rsidP="00D90425">
            <w:pPr>
              <w:spacing w:before="120" w:after="120"/>
              <w:rPr>
                <w:rFonts w:asciiTheme="majorHAnsi" w:hAnsiTheme="majorHAnsi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Tai įvadin</w:t>
            </w:r>
            <w:r w:rsidR="00D90425">
              <w:rPr>
                <w:rFonts w:ascii="Times New Roman" w:hAnsi="Times New Roman" w:cs="Times New Roman"/>
                <w:lang w:val="lt-LT"/>
              </w:rPr>
              <w:t xml:space="preserve">is </w:t>
            </w:r>
            <w:r>
              <w:rPr>
                <w:rFonts w:ascii="Times New Roman" w:hAnsi="Times New Roman" w:cs="Times New Roman"/>
                <w:lang w:val="lt-LT"/>
              </w:rPr>
              <w:t xml:space="preserve">LMTA meno doktorantūros studijų </w:t>
            </w:r>
            <w:r w:rsidR="00D90425">
              <w:rPr>
                <w:rFonts w:ascii="Times New Roman" w:hAnsi="Times New Roman" w:cs="Times New Roman"/>
                <w:lang w:val="lt-LT"/>
              </w:rPr>
              <w:t>dalykas</w:t>
            </w:r>
            <w:r>
              <w:rPr>
                <w:rFonts w:ascii="Times New Roman" w:hAnsi="Times New Roman" w:cs="Times New Roman"/>
                <w:lang w:val="lt-LT"/>
              </w:rPr>
              <w:t>, kuri</w:t>
            </w:r>
            <w:r w:rsidR="00D90425">
              <w:rPr>
                <w:rFonts w:ascii="Times New Roman" w:hAnsi="Times New Roman" w:cs="Times New Roman"/>
                <w:lang w:val="lt-LT"/>
              </w:rPr>
              <w:t>ame</w:t>
            </w:r>
            <w:r>
              <w:rPr>
                <w:rFonts w:ascii="Times New Roman" w:hAnsi="Times New Roman" w:cs="Times New Roman"/>
                <w:lang w:val="lt-LT"/>
              </w:rPr>
              <w:t xml:space="preserve"> pristatoma meninių tyrimų samprata, diskursas bei metodologija. Supažindinama su muzikos, teatro ir kino meninių tyrimų kontekstais, takoskyra tarp mokslinių ir meninių tyrim</w:t>
            </w:r>
            <w:r w:rsidR="004D6ED3">
              <w:rPr>
                <w:rFonts w:ascii="Times New Roman" w:hAnsi="Times New Roman" w:cs="Times New Roman"/>
                <w:lang w:val="lt-LT"/>
              </w:rPr>
              <w:t>ų. N</w:t>
            </w:r>
            <w:r>
              <w:rPr>
                <w:rFonts w:ascii="Times New Roman" w:hAnsi="Times New Roman" w:cs="Times New Roman"/>
                <w:lang w:val="lt-LT"/>
              </w:rPr>
              <w:t>agrinėjama mokslinių tyrimų praktikos, tarpdisciplininių tyrimų galimybės</w:t>
            </w:r>
            <w:r w:rsidR="004D6ED3">
              <w:rPr>
                <w:rFonts w:ascii="Times New Roman" w:hAnsi="Times New Roman" w:cs="Times New Roman"/>
                <w:lang w:val="lt-LT"/>
              </w:rPr>
              <w:t>, praktika grindžiamų tyrimų perspektyvos. Seminarų metu gilinamasi į doktorantų atliekamų tyrimų strategijas, tematikos, problemų bei tyrimų prielaidų formulavimą, tobulinami tyrimo rezultatų pristatymo ir vertinimo įgūdžiai.</w:t>
            </w:r>
          </w:p>
        </w:tc>
      </w:tr>
    </w:tbl>
    <w:p w14:paraId="5CB1AD19" w14:textId="77777777" w:rsidR="002642D9" w:rsidRDefault="002642D9">
      <w:pPr>
        <w:rPr>
          <w:rFonts w:asciiTheme="majorHAnsi" w:hAnsiTheme="majorHAnsi"/>
          <w:lang w:val="lt-LT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76"/>
        <w:gridCol w:w="3402"/>
        <w:gridCol w:w="3544"/>
      </w:tblGrid>
      <w:tr w:rsidR="00EE04E5" w:rsidRPr="00262043" w14:paraId="6EB37463" w14:textId="77777777" w:rsidTr="0009190B">
        <w:tc>
          <w:tcPr>
            <w:tcW w:w="9322" w:type="dxa"/>
            <w:gridSpan w:val="3"/>
            <w:shd w:val="clear" w:color="auto" w:fill="D9D9D9" w:themeFill="background1" w:themeFillShade="D9"/>
          </w:tcPr>
          <w:p w14:paraId="274A7692" w14:textId="77777777" w:rsidR="00EE04E5" w:rsidRPr="0009190B" w:rsidRDefault="00EE04E5" w:rsidP="00262043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 w:rsidRPr="006B083A">
              <w:rPr>
                <w:rFonts w:asciiTheme="majorHAnsi" w:hAnsiTheme="majorHAnsi"/>
                <w:b/>
                <w:lang w:val="lt-LT"/>
              </w:rPr>
              <w:t>Siekiami</w:t>
            </w:r>
            <w:r w:rsidRPr="00304514">
              <w:rPr>
                <w:rFonts w:asciiTheme="majorHAnsi" w:hAnsiTheme="majorHAnsi"/>
                <w:b/>
                <w:strike/>
                <w:lang w:val="lt-LT"/>
              </w:rPr>
              <w:t xml:space="preserve"> </w:t>
            </w:r>
            <w:r w:rsidR="006B083A">
              <w:rPr>
                <w:rFonts w:asciiTheme="majorHAnsi" w:hAnsiTheme="majorHAnsi"/>
                <w:b/>
                <w:lang w:val="lt-LT"/>
              </w:rPr>
              <w:t>s</w:t>
            </w:r>
            <w:r w:rsidRPr="0009190B">
              <w:rPr>
                <w:rFonts w:asciiTheme="majorHAnsi" w:hAnsiTheme="majorHAnsi"/>
                <w:b/>
                <w:lang w:val="lt-LT"/>
              </w:rPr>
              <w:t>tudijų rezultatai</w:t>
            </w:r>
          </w:p>
        </w:tc>
      </w:tr>
      <w:tr w:rsidR="00EE04E5" w14:paraId="3A663A73" w14:textId="77777777" w:rsidTr="0009190B">
        <w:tc>
          <w:tcPr>
            <w:tcW w:w="2376" w:type="dxa"/>
            <w:shd w:val="clear" w:color="auto" w:fill="F2F2F2" w:themeFill="background1" w:themeFillShade="F2"/>
          </w:tcPr>
          <w:p w14:paraId="7584E064" w14:textId="77777777" w:rsidR="00304514" w:rsidRPr="00304514" w:rsidRDefault="00304514" w:rsidP="00262043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F0334E">
              <w:rPr>
                <w:rFonts w:asciiTheme="majorHAnsi" w:hAnsiTheme="majorHAnsi"/>
                <w:sz w:val="20"/>
                <w:szCs w:val="20"/>
                <w:lang w:val="lt-LT"/>
              </w:rPr>
              <w:t>Bendrosios ir dalykinės kompetencijos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5A141DC" w14:textId="77777777" w:rsidR="00EE04E5" w:rsidRPr="00A74EA0" w:rsidRDefault="00EE04E5" w:rsidP="00EE04E5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A74EA0">
              <w:rPr>
                <w:rFonts w:asciiTheme="majorHAnsi" w:hAnsiTheme="majorHAnsi" w:cs="Times New Roman"/>
                <w:color w:val="000000"/>
                <w:sz w:val="20"/>
                <w:szCs w:val="20"/>
                <w:lang w:val="lt-LT"/>
              </w:rPr>
              <w:t>LMTA Meno doktorantūros programos siekiami rezultatai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16684D32" w14:textId="77777777" w:rsidR="00EE04E5" w:rsidRPr="00A74EA0" w:rsidRDefault="00304514" w:rsidP="003A1C35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F0334E">
              <w:rPr>
                <w:rFonts w:asciiTheme="majorHAnsi" w:hAnsiTheme="majorHAnsi"/>
                <w:sz w:val="20"/>
                <w:szCs w:val="20"/>
                <w:lang w:val="lt-LT"/>
              </w:rPr>
              <w:t>Studijų d</w:t>
            </w:r>
            <w:r w:rsidR="00EE04E5" w:rsidRPr="00F0334E">
              <w:rPr>
                <w:rFonts w:asciiTheme="majorHAnsi" w:hAnsiTheme="majorHAnsi"/>
                <w:sz w:val="20"/>
                <w:szCs w:val="20"/>
                <w:lang w:val="lt-LT"/>
              </w:rPr>
              <w:t xml:space="preserve">alyko </w:t>
            </w:r>
            <w:r w:rsidR="003A1C35" w:rsidRPr="00F0334E">
              <w:rPr>
                <w:rFonts w:asciiTheme="majorHAnsi" w:hAnsiTheme="majorHAnsi"/>
                <w:sz w:val="20"/>
                <w:szCs w:val="20"/>
                <w:lang w:val="lt-LT"/>
              </w:rPr>
              <w:t>sieki</w:t>
            </w:r>
            <w:r w:rsidRPr="00F0334E">
              <w:rPr>
                <w:rFonts w:asciiTheme="majorHAnsi" w:hAnsiTheme="majorHAnsi"/>
                <w:sz w:val="20"/>
                <w:szCs w:val="20"/>
                <w:lang w:val="lt-LT"/>
              </w:rPr>
              <w:t>ami rezultatai</w:t>
            </w:r>
          </w:p>
        </w:tc>
      </w:tr>
      <w:tr w:rsidR="00EE04E5" w:rsidRPr="008C7767" w14:paraId="2BC0D2DA" w14:textId="77777777" w:rsidTr="0009190B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7EDD2BF5" w14:textId="77777777" w:rsidR="00EE04E5" w:rsidRPr="00A74EA0" w:rsidRDefault="00EE04E5" w:rsidP="00A74EA0">
            <w:pPr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A74EA0">
              <w:rPr>
                <w:rFonts w:asciiTheme="majorHAnsi" w:hAnsiTheme="majorHAnsi"/>
                <w:color w:val="000000"/>
                <w:sz w:val="20"/>
                <w:szCs w:val="20"/>
                <w:lang w:val="lt-LT"/>
              </w:rPr>
              <w:t>Žinios, jų taikymas</w:t>
            </w:r>
          </w:p>
        </w:tc>
        <w:tc>
          <w:tcPr>
            <w:tcW w:w="3402" w:type="dxa"/>
          </w:tcPr>
          <w:p w14:paraId="05EC6293" w14:textId="77777777" w:rsidR="00EE04E5" w:rsidRPr="00A74EA0" w:rsidRDefault="00EE04E5" w:rsidP="00A74EA0">
            <w:pPr>
              <w:pStyle w:val="ListParagraph"/>
              <w:numPr>
                <w:ilvl w:val="0"/>
                <w:numId w:val="1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Įgyja naujausių sistemingos mokslinių ar meninių tyrimų arba meninės veiklos žinių.</w:t>
            </w:r>
          </w:p>
          <w:p w14:paraId="588E4B96" w14:textId="77777777" w:rsidR="00EE04E5" w:rsidRPr="00A74EA0" w:rsidRDefault="00EE04E5" w:rsidP="00A74EA0">
            <w:pPr>
              <w:pStyle w:val="ListParagraph"/>
              <w:numPr>
                <w:ilvl w:val="0"/>
                <w:numId w:val="1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Geba jas taikyti kuriant naujas fundamentines žinias ir idėjas, sprendžiant strateginio pobūdžio veiklos uždavinius.</w:t>
            </w:r>
          </w:p>
        </w:tc>
        <w:tc>
          <w:tcPr>
            <w:tcW w:w="3544" w:type="dxa"/>
          </w:tcPr>
          <w:p w14:paraId="65F69D72" w14:textId="77777777" w:rsidR="00EE04E5" w:rsidRPr="00D90425" w:rsidRDefault="00D90425" w:rsidP="00D90425">
            <w:pPr>
              <w:pStyle w:val="ListParagraph"/>
              <w:numPr>
                <w:ilvl w:val="0"/>
                <w:numId w:val="1"/>
              </w:numPr>
              <w:spacing w:before="120"/>
              <w:ind w:left="181" w:firstLine="0"/>
              <w:contextualSpacing w:val="0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D90425">
              <w:rPr>
                <w:rFonts w:ascii="Times New Roman" w:hAnsi="Times New Roman"/>
                <w:sz w:val="22"/>
                <w:szCs w:val="22"/>
                <w:lang w:val="lt-LT"/>
              </w:rPr>
              <w:t>Įgyja meninių tyrimų metodologijos žinių.</w:t>
            </w:r>
          </w:p>
          <w:p w14:paraId="41030418" w14:textId="77777777" w:rsidR="00D90425" w:rsidRPr="00D90425" w:rsidRDefault="00D90425" w:rsidP="00D90425">
            <w:pPr>
              <w:pStyle w:val="ListParagraph"/>
              <w:numPr>
                <w:ilvl w:val="0"/>
                <w:numId w:val="1"/>
              </w:numPr>
              <w:spacing w:before="120" w:after="120"/>
              <w:ind w:left="180" w:firstLine="0"/>
              <w:rPr>
                <w:rFonts w:ascii="Times New Roman" w:hAnsi="Times New Roman"/>
                <w:lang w:val="lt-LT"/>
              </w:rPr>
            </w:pPr>
            <w:r w:rsidRPr="00D9042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Geba jas taikyti rengiant meno projektą </w:t>
            </w:r>
            <w:r w:rsidRPr="00D90425">
              <w:rPr>
                <w:rFonts w:ascii="Times New Roman" w:hAnsi="Times New Roman"/>
                <w:lang w:val="lt-LT"/>
              </w:rPr>
              <w:t>ir jį pristatant.</w:t>
            </w:r>
          </w:p>
        </w:tc>
      </w:tr>
      <w:tr w:rsidR="00EE04E5" w:rsidRPr="008C7767" w14:paraId="262B579B" w14:textId="77777777" w:rsidTr="0009190B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1F65CFA3" w14:textId="77777777" w:rsidR="00EE04E5" w:rsidRPr="00A74EA0" w:rsidRDefault="00EE04E5" w:rsidP="00A74EA0">
            <w:pPr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A74EA0">
              <w:rPr>
                <w:rFonts w:asciiTheme="majorHAnsi" w:hAnsiTheme="majorHAnsi"/>
                <w:color w:val="000000"/>
                <w:sz w:val="20"/>
                <w:szCs w:val="20"/>
                <w:lang w:val="lt-LT"/>
              </w:rPr>
              <w:t>Gebėjimai vykdyti tyrimus</w:t>
            </w:r>
          </w:p>
        </w:tc>
        <w:tc>
          <w:tcPr>
            <w:tcW w:w="3402" w:type="dxa"/>
          </w:tcPr>
          <w:p w14:paraId="1FDB5CE9" w14:textId="77777777" w:rsidR="00EE04E5" w:rsidRPr="00A74EA0" w:rsidRDefault="00EE04E5" w:rsidP="00A74EA0">
            <w:pPr>
              <w:pStyle w:val="ListParagraph"/>
              <w:numPr>
                <w:ilvl w:val="0"/>
                <w:numId w:val="2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Geba pasiūlyti, analizuoti, sintetinti, sisteminti ir kritiškai vertinti naujas ir sudėtingas idėjas, ieškant originalių mokslinių/ meninių tyrimų ir meno kūrybos sprendimų, sprendžiant sudėtingas kultūros ir mokslo plėtros, visuomenės meninės veiklos problemas. </w:t>
            </w:r>
          </w:p>
          <w:p w14:paraId="3D880F11" w14:textId="77777777" w:rsidR="00EE04E5" w:rsidRPr="00A74EA0" w:rsidRDefault="00EE04E5" w:rsidP="00A74EA0">
            <w:pPr>
              <w:pStyle w:val="ListParagraph"/>
              <w:numPr>
                <w:ilvl w:val="0"/>
                <w:numId w:val="2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Geba planuoti ir vykdyti fundamentinius ir taikomuosius/ meninius</w:t>
            </w:r>
            <w:r w:rsidRPr="00A74EA0">
              <w:rPr>
                <w:rStyle w:val="apple-converted-space"/>
                <w:rFonts w:ascii="Times New Roman" w:hAnsi="Times New Roman"/>
                <w:color w:val="000000"/>
                <w:sz w:val="22"/>
                <w:szCs w:val="22"/>
                <w:lang w:val="lt-LT"/>
              </w:rPr>
              <w:t> </w:t>
            </w:r>
            <w:r w:rsidRPr="00A74EA0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lt-LT"/>
              </w:rPr>
              <w:t xml:space="preserve">didelės </w:t>
            </w:r>
            <w:r w:rsidRPr="00A74EA0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lt-LT"/>
              </w:rPr>
              <w:lastRenderedPageBreak/>
              <w:t>apimties</w:t>
            </w:r>
            <w:r w:rsidRPr="00A74EA0">
              <w:rPr>
                <w:rStyle w:val="apple-converted-space"/>
                <w:rFonts w:ascii="Times New Roman" w:hAnsi="Times New Roman"/>
                <w:color w:val="000000"/>
                <w:spacing w:val="2"/>
                <w:sz w:val="22"/>
                <w:szCs w:val="22"/>
                <w:lang w:val="lt-LT"/>
              </w:rPr>
              <w:t> </w:t>
            </w: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tyrimus arba kultūros ir meno projektus,</w:t>
            </w:r>
            <w:r w:rsidRPr="00A74EA0">
              <w:rPr>
                <w:rStyle w:val="apple-converted-space"/>
                <w:rFonts w:ascii="Times New Roman" w:hAnsi="Times New Roman"/>
                <w:color w:val="000000"/>
                <w:spacing w:val="1"/>
                <w:sz w:val="22"/>
                <w:szCs w:val="22"/>
                <w:lang w:val="lt-LT"/>
              </w:rPr>
              <w:t> </w:t>
            </w:r>
            <w:r w:rsidRPr="00A74EA0"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val="lt-LT"/>
              </w:rPr>
              <w:t>kurie reikšmingai išplečia</w:t>
            </w:r>
            <w:r w:rsidRPr="00A74EA0">
              <w:rPr>
                <w:rStyle w:val="apple-converted-space"/>
                <w:rFonts w:ascii="Times New Roman" w:hAnsi="Times New Roman"/>
                <w:color w:val="000000"/>
                <w:spacing w:val="1"/>
                <w:sz w:val="22"/>
                <w:szCs w:val="22"/>
                <w:lang w:val="lt-LT"/>
              </w:rPr>
              <w:t> </w:t>
            </w:r>
            <w:r w:rsidRPr="00A74EA0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lt-LT"/>
              </w:rPr>
              <w:t>žinių ribas.</w:t>
            </w:r>
          </w:p>
        </w:tc>
        <w:tc>
          <w:tcPr>
            <w:tcW w:w="3544" w:type="dxa"/>
          </w:tcPr>
          <w:p w14:paraId="27B6D066" w14:textId="77777777" w:rsidR="00D90425" w:rsidRPr="00D90425" w:rsidRDefault="00D90425" w:rsidP="00D90425">
            <w:pPr>
              <w:pStyle w:val="ListParagraph"/>
              <w:numPr>
                <w:ilvl w:val="0"/>
                <w:numId w:val="2"/>
              </w:numPr>
              <w:spacing w:before="120"/>
              <w:ind w:left="181" w:firstLine="0"/>
              <w:contextualSpacing w:val="0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D90425">
              <w:rPr>
                <w:rFonts w:ascii="Times New Roman" w:hAnsi="Times New Roman"/>
                <w:sz w:val="22"/>
                <w:szCs w:val="22"/>
                <w:lang w:val="lt-LT"/>
              </w:rPr>
              <w:lastRenderedPageBreak/>
              <w:t>Geba pasirinkti kultūros, meno ir plačiajai visuomenei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>.</w:t>
            </w:r>
            <w:r w:rsidRPr="00D9042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aktualų tyrimų problematikos lauką</w:t>
            </w:r>
          </w:p>
          <w:p w14:paraId="2B65AF00" w14:textId="77777777" w:rsidR="00D90425" w:rsidRPr="00D90425" w:rsidRDefault="00D90425" w:rsidP="00D90425">
            <w:pPr>
              <w:pStyle w:val="ListParagraph"/>
              <w:numPr>
                <w:ilvl w:val="0"/>
                <w:numId w:val="2"/>
              </w:numPr>
              <w:spacing w:before="120" w:after="120"/>
              <w:ind w:left="180" w:firstLine="0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D90425">
              <w:rPr>
                <w:rFonts w:ascii="Times New Roman" w:hAnsi="Times New Roman"/>
                <w:sz w:val="22"/>
                <w:szCs w:val="22"/>
                <w:lang w:val="lt-LT"/>
              </w:rPr>
              <w:t>Žino ir geba tinkamai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>.</w:t>
            </w:r>
            <w:r w:rsidRPr="00D9042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pasirinkti meninių tyrimų metodus</w:t>
            </w:r>
          </w:p>
          <w:p w14:paraId="76F75396" w14:textId="77777777" w:rsidR="00EE04E5" w:rsidRPr="00D90425" w:rsidRDefault="00D90425" w:rsidP="00D90425">
            <w:pPr>
              <w:pStyle w:val="ListParagraph"/>
              <w:numPr>
                <w:ilvl w:val="0"/>
                <w:numId w:val="2"/>
              </w:numPr>
              <w:spacing w:before="120" w:after="120"/>
              <w:ind w:left="180" w:firstLine="0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D9042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Geba formuoti meninio tyrimo strategiją, parengti planą ir 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>atsirinkti šaltinius.</w:t>
            </w:r>
          </w:p>
          <w:p w14:paraId="094E915D" w14:textId="77777777" w:rsidR="00D90425" w:rsidRPr="00BC1A82" w:rsidRDefault="00D90425" w:rsidP="00A74EA0">
            <w:pPr>
              <w:spacing w:before="120" w:after="120"/>
              <w:ind w:left="176"/>
              <w:contextualSpacing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EE04E5" w:rsidRPr="008C7767" w14:paraId="60090C41" w14:textId="77777777" w:rsidTr="0009190B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67CC9F56" w14:textId="77777777" w:rsidR="00EE04E5" w:rsidRPr="00A74EA0" w:rsidRDefault="00EE04E5" w:rsidP="00A74EA0">
            <w:pPr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A74EA0">
              <w:rPr>
                <w:rFonts w:asciiTheme="majorHAnsi" w:hAnsiTheme="majorHAnsi"/>
                <w:color w:val="000000"/>
                <w:sz w:val="20"/>
                <w:szCs w:val="20"/>
                <w:lang w:val="lt-LT"/>
              </w:rPr>
              <w:t>Specialieji gebėjimai</w:t>
            </w:r>
          </w:p>
        </w:tc>
        <w:tc>
          <w:tcPr>
            <w:tcW w:w="3402" w:type="dxa"/>
          </w:tcPr>
          <w:p w14:paraId="300991C4" w14:textId="77777777" w:rsidR="00EE04E5" w:rsidRPr="00A74EA0" w:rsidRDefault="00EE04E5" w:rsidP="00A74EA0">
            <w:pPr>
              <w:pStyle w:val="ListParagraph"/>
              <w:numPr>
                <w:ilvl w:val="0"/>
                <w:numId w:val="3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Geba, remiantis naujausiomis mokslinių/ meninių tyrimų  teikiamomis žiniomis, kurti originalias tyrimų, studijų, kultūrinės ir meninės veiklos, naujovių kūrimo priemones ir instrumentus. </w:t>
            </w:r>
          </w:p>
          <w:p w14:paraId="7A29D8C7" w14:textId="77777777" w:rsidR="00EE04E5" w:rsidRPr="00A74EA0" w:rsidRDefault="00EE04E5" w:rsidP="00A74EA0">
            <w:pPr>
              <w:pStyle w:val="ListParagraph"/>
              <w:numPr>
                <w:ilvl w:val="0"/>
                <w:numId w:val="3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Geba savarankiškai dirbti intelektinį, meninį ir kūrybinį darbą.</w:t>
            </w:r>
          </w:p>
        </w:tc>
        <w:tc>
          <w:tcPr>
            <w:tcW w:w="3544" w:type="dxa"/>
          </w:tcPr>
          <w:p w14:paraId="326E3C8F" w14:textId="77777777" w:rsidR="00EE04E5" w:rsidRPr="00D90425" w:rsidRDefault="00D90425" w:rsidP="00255E8D">
            <w:pPr>
              <w:pStyle w:val="ListParagraph"/>
              <w:numPr>
                <w:ilvl w:val="0"/>
                <w:numId w:val="3"/>
              </w:numPr>
              <w:spacing w:before="120"/>
              <w:ind w:left="180" w:firstLine="0"/>
              <w:contextualSpacing w:val="0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D90425">
              <w:rPr>
                <w:rFonts w:ascii="Times New Roman" w:hAnsi="Times New Roman"/>
                <w:sz w:val="22"/>
                <w:szCs w:val="22"/>
                <w:lang w:val="lt-LT"/>
              </w:rPr>
              <w:t>Geba remtis naujausiomis meninių tyrimų žiniomis</w:t>
            </w:r>
          </w:p>
          <w:p w14:paraId="4A1613F0" w14:textId="77777777" w:rsidR="00D90425" w:rsidRPr="00D90425" w:rsidRDefault="00D90425" w:rsidP="00255E8D">
            <w:pPr>
              <w:pStyle w:val="ListParagraph"/>
              <w:numPr>
                <w:ilvl w:val="0"/>
                <w:numId w:val="3"/>
              </w:numPr>
              <w:spacing w:before="120" w:after="120"/>
              <w:ind w:left="180" w:firstLine="0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D90425">
              <w:rPr>
                <w:rFonts w:ascii="Times New Roman" w:hAnsi="Times New Roman"/>
                <w:sz w:val="22"/>
                <w:szCs w:val="22"/>
                <w:lang w:val="lt-LT"/>
              </w:rPr>
              <w:t>Geba kurti naujas, praktika grindžiamas žinias</w:t>
            </w:r>
          </w:p>
          <w:p w14:paraId="4C07BDCC" w14:textId="77777777" w:rsidR="00D90425" w:rsidRPr="00D90425" w:rsidRDefault="00D90425" w:rsidP="00255E8D">
            <w:pPr>
              <w:pStyle w:val="ListParagraph"/>
              <w:numPr>
                <w:ilvl w:val="0"/>
                <w:numId w:val="3"/>
              </w:numPr>
              <w:spacing w:before="120" w:after="120"/>
              <w:ind w:left="180" w:firstLine="0"/>
              <w:rPr>
                <w:rFonts w:ascii="Times New Roman" w:hAnsi="Times New Roman"/>
                <w:lang w:val="lt-LT"/>
              </w:rPr>
            </w:pPr>
            <w:r w:rsidRPr="00D90425">
              <w:rPr>
                <w:rFonts w:ascii="Times New Roman" w:hAnsi="Times New Roman"/>
                <w:sz w:val="22"/>
                <w:szCs w:val="22"/>
                <w:lang w:val="lt-LT"/>
              </w:rPr>
              <w:t>Geba savarankiškai vykdyti meninius tyrimus</w:t>
            </w:r>
          </w:p>
        </w:tc>
      </w:tr>
      <w:tr w:rsidR="00EE04E5" w:rsidRPr="008C7767" w14:paraId="12FA7CE6" w14:textId="77777777" w:rsidTr="0009190B">
        <w:tc>
          <w:tcPr>
            <w:tcW w:w="2376" w:type="dxa"/>
            <w:shd w:val="clear" w:color="auto" w:fill="F2F2F2" w:themeFill="background1" w:themeFillShade="F2"/>
          </w:tcPr>
          <w:p w14:paraId="56280EF3" w14:textId="77777777" w:rsidR="00EE04E5" w:rsidRPr="00A74EA0" w:rsidRDefault="00EE04E5" w:rsidP="00A74EA0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A74EA0">
              <w:rPr>
                <w:rFonts w:asciiTheme="majorHAnsi" w:hAnsiTheme="majorHAnsi"/>
                <w:color w:val="000000"/>
                <w:sz w:val="20"/>
                <w:szCs w:val="20"/>
                <w:lang w:val="lt-LT"/>
              </w:rPr>
              <w:t>Socialiniai gebėjimai</w:t>
            </w:r>
          </w:p>
        </w:tc>
        <w:tc>
          <w:tcPr>
            <w:tcW w:w="3402" w:type="dxa"/>
          </w:tcPr>
          <w:p w14:paraId="59D26B59" w14:textId="77777777" w:rsidR="00EE04E5" w:rsidRPr="00A74EA0" w:rsidRDefault="00EE04E5" w:rsidP="00A74EA0">
            <w:pPr>
              <w:pStyle w:val="ListParagraph"/>
              <w:numPr>
                <w:ilvl w:val="0"/>
                <w:numId w:val="4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Geba bendrauti su moksline, kūrybine ir kultūrine bendruomene, inicijuojant ir plėtojant naujus tyrimų ar kūrybinius projektus.</w:t>
            </w:r>
          </w:p>
          <w:p w14:paraId="786D24D2" w14:textId="77777777" w:rsidR="00EE04E5" w:rsidRPr="00A74EA0" w:rsidRDefault="00EE04E5" w:rsidP="00A74EA0">
            <w:pPr>
              <w:pStyle w:val="ListParagraph"/>
              <w:numPr>
                <w:ilvl w:val="0"/>
                <w:numId w:val="4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Plėtoja tiriamąją/ kūrybinę veiklą, skatinančią visuomenės raidai palankią kultūrinę pažangą.</w:t>
            </w:r>
          </w:p>
        </w:tc>
        <w:tc>
          <w:tcPr>
            <w:tcW w:w="3544" w:type="dxa"/>
          </w:tcPr>
          <w:p w14:paraId="0E2A9749" w14:textId="77777777" w:rsidR="00EE04E5" w:rsidRPr="00255E8D" w:rsidRDefault="00255E8D" w:rsidP="00255E8D">
            <w:pPr>
              <w:pStyle w:val="ListParagraph"/>
              <w:numPr>
                <w:ilvl w:val="0"/>
                <w:numId w:val="4"/>
              </w:numPr>
              <w:spacing w:before="120"/>
              <w:ind w:left="181" w:firstLine="0"/>
              <w:contextualSpacing w:val="0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255E8D">
              <w:rPr>
                <w:rFonts w:ascii="Times New Roman" w:hAnsi="Times New Roman"/>
                <w:sz w:val="22"/>
                <w:szCs w:val="22"/>
                <w:lang w:val="lt-LT"/>
              </w:rPr>
              <w:t>Geba komunikuoti su moksline, kūrybine ir kultūrine bendruomene plėtojant meninių tyrimų projektus</w:t>
            </w:r>
          </w:p>
        </w:tc>
      </w:tr>
      <w:tr w:rsidR="00EE04E5" w:rsidRPr="008C7767" w14:paraId="72C67C3C" w14:textId="77777777" w:rsidTr="0009190B">
        <w:tc>
          <w:tcPr>
            <w:tcW w:w="2376" w:type="dxa"/>
            <w:shd w:val="clear" w:color="auto" w:fill="F2F2F2" w:themeFill="background1" w:themeFillShade="F2"/>
          </w:tcPr>
          <w:p w14:paraId="2E9651EE" w14:textId="77777777" w:rsidR="00EE04E5" w:rsidRPr="00A74EA0" w:rsidRDefault="00EE04E5" w:rsidP="00A74EA0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A74EA0">
              <w:rPr>
                <w:rFonts w:asciiTheme="majorHAnsi" w:hAnsiTheme="majorHAnsi"/>
                <w:color w:val="000000"/>
                <w:sz w:val="20"/>
                <w:szCs w:val="20"/>
                <w:lang w:val="lt-LT"/>
              </w:rPr>
              <w:t>Asmeniniai gebėjimai</w:t>
            </w:r>
          </w:p>
        </w:tc>
        <w:tc>
          <w:tcPr>
            <w:tcW w:w="3402" w:type="dxa"/>
          </w:tcPr>
          <w:p w14:paraId="57D1F126" w14:textId="77777777" w:rsidR="00EE04E5" w:rsidRPr="00A74EA0" w:rsidRDefault="00EE04E5" w:rsidP="00A74EA0">
            <w:pPr>
              <w:pStyle w:val="ListParagraph"/>
              <w:numPr>
                <w:ilvl w:val="0"/>
                <w:numId w:val="5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Geba savarankiškai tobulėti, kritiškai vertinti savo sprendimus ir pasiekimus, pasirengęs nuolatos tobulinti įgūdžius mokytis visą gyvenimą, plėtoti kūrybinius intelektinius asmens gebėjimus.</w:t>
            </w:r>
          </w:p>
          <w:p w14:paraId="2C1D28E8" w14:textId="77777777" w:rsidR="00EE04E5" w:rsidRPr="00A74EA0" w:rsidRDefault="00EE04E5" w:rsidP="00A74EA0">
            <w:pPr>
              <w:pStyle w:val="ListParagraph"/>
              <w:numPr>
                <w:ilvl w:val="0"/>
                <w:numId w:val="5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Geba greitai reaguoti į dinamiškus visuomenės pokyčius.</w:t>
            </w:r>
          </w:p>
        </w:tc>
        <w:tc>
          <w:tcPr>
            <w:tcW w:w="3544" w:type="dxa"/>
          </w:tcPr>
          <w:p w14:paraId="75B7078C" w14:textId="77777777" w:rsidR="00EE04E5" w:rsidRPr="00255E8D" w:rsidRDefault="00255E8D" w:rsidP="00255E8D">
            <w:pPr>
              <w:pStyle w:val="ListParagraph"/>
              <w:numPr>
                <w:ilvl w:val="0"/>
                <w:numId w:val="5"/>
              </w:numPr>
              <w:spacing w:before="120"/>
              <w:ind w:left="180" w:firstLine="35"/>
              <w:contextualSpacing w:val="0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255E8D">
              <w:rPr>
                <w:rFonts w:ascii="Times New Roman" w:hAnsi="Times New Roman"/>
                <w:sz w:val="22"/>
                <w:szCs w:val="22"/>
                <w:lang w:val="lt-LT"/>
              </w:rPr>
              <w:t>Geba savarankiškai tobulėti ir rengti meno projektus</w:t>
            </w:r>
          </w:p>
          <w:p w14:paraId="09A979B4" w14:textId="77777777" w:rsidR="00255E8D" w:rsidRPr="00255E8D" w:rsidRDefault="00255E8D" w:rsidP="00255E8D">
            <w:pPr>
              <w:pStyle w:val="ListParagraph"/>
              <w:numPr>
                <w:ilvl w:val="0"/>
                <w:numId w:val="5"/>
              </w:numPr>
              <w:spacing w:before="120" w:after="120"/>
              <w:ind w:left="180" w:firstLine="35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255E8D">
              <w:rPr>
                <w:rFonts w:ascii="Times New Roman" w:hAnsi="Times New Roman"/>
                <w:sz w:val="22"/>
                <w:szCs w:val="22"/>
                <w:lang w:val="lt-LT"/>
              </w:rPr>
              <w:t>Geba kritiškai vertinti savo ir kitų tyrėjų tyrimų rezultatus</w:t>
            </w:r>
          </w:p>
          <w:p w14:paraId="45AE9AF9" w14:textId="77777777" w:rsidR="00255E8D" w:rsidRPr="00255E8D" w:rsidRDefault="00255E8D" w:rsidP="00255E8D">
            <w:pPr>
              <w:pStyle w:val="ListParagraph"/>
              <w:numPr>
                <w:ilvl w:val="0"/>
                <w:numId w:val="5"/>
              </w:numPr>
              <w:spacing w:before="120" w:after="120"/>
              <w:ind w:left="180" w:firstLine="35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255E8D">
              <w:rPr>
                <w:rFonts w:ascii="Times New Roman" w:hAnsi="Times New Roman"/>
                <w:sz w:val="22"/>
                <w:szCs w:val="22"/>
                <w:lang w:val="lt-LT"/>
              </w:rPr>
              <w:t>Pasirengęs tobulėti visą gyvenimą</w:t>
            </w:r>
          </w:p>
          <w:p w14:paraId="567C1F38" w14:textId="77777777" w:rsidR="00255E8D" w:rsidRPr="00BC1A82" w:rsidRDefault="00255E8D" w:rsidP="00A74EA0">
            <w:pPr>
              <w:spacing w:before="120" w:after="120"/>
              <w:ind w:left="176"/>
              <w:contextualSpacing/>
              <w:rPr>
                <w:rFonts w:ascii="Times New Roman" w:hAnsi="Times New Roman" w:cs="Times New Roman"/>
                <w:lang w:val="lt-LT"/>
              </w:rPr>
            </w:pPr>
          </w:p>
        </w:tc>
      </w:tr>
    </w:tbl>
    <w:p w14:paraId="43990248" w14:textId="77777777" w:rsidR="00CC4254" w:rsidRPr="00EE04E5" w:rsidRDefault="00CC4254">
      <w:pPr>
        <w:rPr>
          <w:rFonts w:asciiTheme="majorHAnsi" w:hAnsiTheme="majorHAnsi"/>
          <w:lang w:val="lt-LT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A1C35" w14:paraId="7D0ACC22" w14:textId="77777777" w:rsidTr="003A1C35">
        <w:tc>
          <w:tcPr>
            <w:tcW w:w="9322" w:type="dxa"/>
            <w:shd w:val="clear" w:color="auto" w:fill="D9D9D9" w:themeFill="background1" w:themeFillShade="D9"/>
          </w:tcPr>
          <w:p w14:paraId="5FF960FE" w14:textId="77777777" w:rsidR="003A1C35" w:rsidRPr="003A1C35" w:rsidRDefault="006467A1" w:rsidP="003A1C35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>
              <w:rPr>
                <w:rFonts w:asciiTheme="majorHAnsi" w:hAnsiTheme="majorHAnsi"/>
                <w:b/>
                <w:lang w:val="lt-LT"/>
              </w:rPr>
              <w:t>Dalyko tikslas</w:t>
            </w:r>
          </w:p>
        </w:tc>
      </w:tr>
      <w:tr w:rsidR="009A03AE" w:rsidRPr="00C00103" w14:paraId="7894D1C3" w14:textId="77777777" w:rsidTr="006467A1">
        <w:tc>
          <w:tcPr>
            <w:tcW w:w="9322" w:type="dxa"/>
            <w:shd w:val="clear" w:color="auto" w:fill="auto"/>
          </w:tcPr>
          <w:p w14:paraId="224628B8" w14:textId="77777777" w:rsidR="009A03AE" w:rsidRPr="00262043" w:rsidRDefault="00C00103" w:rsidP="00C00103">
            <w:pPr>
              <w:spacing w:before="120" w:after="120"/>
              <w:rPr>
                <w:rFonts w:asciiTheme="majorHAnsi" w:hAnsiTheme="majorHAnsi"/>
                <w:lang w:val="lt-LT"/>
              </w:rPr>
            </w:pPr>
            <w:r>
              <w:rPr>
                <w:rFonts w:asciiTheme="majorHAnsi" w:hAnsiTheme="majorHAnsi"/>
                <w:lang w:val="lt-LT"/>
              </w:rPr>
              <w:t>Pristatyti m</w:t>
            </w:r>
            <w:r w:rsidR="004D6ED3">
              <w:rPr>
                <w:rFonts w:asciiTheme="majorHAnsi" w:hAnsiTheme="majorHAnsi"/>
                <w:lang w:val="lt-LT"/>
              </w:rPr>
              <w:t>eninių tyrimų sampratą</w:t>
            </w:r>
            <w:r>
              <w:rPr>
                <w:rFonts w:asciiTheme="majorHAnsi" w:hAnsiTheme="majorHAnsi"/>
                <w:lang w:val="lt-LT"/>
              </w:rPr>
              <w:t>, diskursą</w:t>
            </w:r>
            <w:r w:rsidR="004D6ED3">
              <w:rPr>
                <w:rFonts w:asciiTheme="majorHAnsi" w:hAnsiTheme="majorHAnsi"/>
                <w:lang w:val="lt-LT"/>
              </w:rPr>
              <w:t xml:space="preserve"> ir metodologi</w:t>
            </w:r>
            <w:r>
              <w:rPr>
                <w:rFonts w:asciiTheme="majorHAnsi" w:hAnsiTheme="majorHAnsi"/>
                <w:lang w:val="lt-LT"/>
              </w:rPr>
              <w:t>ją bei formuoti meno projekto rengimo įgūdžius</w:t>
            </w:r>
          </w:p>
        </w:tc>
      </w:tr>
      <w:tr w:rsidR="009A03AE" w:rsidRPr="008C7767" w14:paraId="38D21C3A" w14:textId="77777777" w:rsidTr="003A1C35">
        <w:tc>
          <w:tcPr>
            <w:tcW w:w="9322" w:type="dxa"/>
            <w:shd w:val="clear" w:color="auto" w:fill="D9D9D9" w:themeFill="background1" w:themeFillShade="D9"/>
          </w:tcPr>
          <w:p w14:paraId="00402B84" w14:textId="77777777" w:rsidR="009A03AE" w:rsidRPr="003A1C35" w:rsidRDefault="009A03AE" w:rsidP="003A1C35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 w:rsidRPr="009A03AE">
              <w:rPr>
                <w:rFonts w:asciiTheme="majorHAnsi" w:hAnsiTheme="majorHAnsi"/>
                <w:b/>
                <w:lang w:val="lt-LT"/>
              </w:rPr>
              <w:t>Dalyko turinys (paskaitų, seminarų temos)</w:t>
            </w:r>
          </w:p>
        </w:tc>
      </w:tr>
      <w:tr w:rsidR="003A1C35" w:rsidRPr="008C7767" w14:paraId="3524A03D" w14:textId="77777777" w:rsidTr="003A1C35">
        <w:tc>
          <w:tcPr>
            <w:tcW w:w="9322" w:type="dxa"/>
          </w:tcPr>
          <w:p w14:paraId="6F91BC87" w14:textId="77777777" w:rsidR="00715B21" w:rsidRDefault="00715B21" w:rsidP="00D06D40">
            <w:pPr>
              <w:spacing w:before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Dalyko teorinė medžiaga glaudžiai siejama su praktinių meninių tyrimo įgūdžių formavimu, </w:t>
            </w:r>
          </w:p>
          <w:p w14:paraId="44FA7F01" w14:textId="77777777" w:rsidR="003A1C35" w:rsidRPr="006467A1" w:rsidRDefault="00C00103" w:rsidP="00D06D40">
            <w:pPr>
              <w:spacing w:before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Meninių tyrimų definicija / </w:t>
            </w:r>
            <w:r w:rsidR="00D06D40">
              <w:rPr>
                <w:rFonts w:ascii="Times New Roman" w:hAnsi="Times New Roman" w:cs="Times New Roman"/>
                <w:lang w:val="lt-LT"/>
              </w:rPr>
              <w:t xml:space="preserve">Meniniai tyrimai mokslo tyrimų kontekste / </w:t>
            </w:r>
            <w:r>
              <w:rPr>
                <w:rFonts w:ascii="Times New Roman" w:hAnsi="Times New Roman" w:cs="Times New Roman"/>
                <w:lang w:val="lt-LT"/>
              </w:rPr>
              <w:t xml:space="preserve">Mokslinis stilius ir žanrai / Vertinimo kriterijai / Tyrimo temos pasirinkimas ir formulavimas / </w:t>
            </w:r>
            <w:r w:rsidR="00D06D40">
              <w:rPr>
                <w:rFonts w:ascii="Times New Roman" w:hAnsi="Times New Roman" w:cs="Times New Roman"/>
                <w:lang w:val="lt-LT"/>
              </w:rPr>
              <w:t>Darbo plano sudarymas / Tiriamojo darbo dalys / Tyrimo eiga, šaltiniai / Meninių tyrimų metodai</w:t>
            </w:r>
          </w:p>
          <w:p w14:paraId="58E71BDC" w14:textId="77777777" w:rsidR="003A1C35" w:rsidRDefault="003A1C35">
            <w:pPr>
              <w:rPr>
                <w:rFonts w:asciiTheme="majorHAnsi" w:hAnsiTheme="majorHAnsi"/>
                <w:lang w:val="lt-LT"/>
              </w:rPr>
            </w:pPr>
          </w:p>
        </w:tc>
      </w:tr>
    </w:tbl>
    <w:p w14:paraId="59240B6A" w14:textId="77777777" w:rsidR="003A1C35" w:rsidRDefault="003A1C35">
      <w:pPr>
        <w:rPr>
          <w:rFonts w:asciiTheme="majorHAnsi" w:hAnsiTheme="majorHAnsi"/>
          <w:lang w:val="lt-LT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3A1C35" w:rsidRPr="008C7767" w14:paraId="53641F50" w14:textId="77777777" w:rsidTr="00045543">
        <w:tc>
          <w:tcPr>
            <w:tcW w:w="2660" w:type="dxa"/>
            <w:shd w:val="clear" w:color="auto" w:fill="F2F2F2" w:themeFill="background1" w:themeFillShade="F2"/>
          </w:tcPr>
          <w:p w14:paraId="56D6D7BE" w14:textId="77777777" w:rsidR="003A1C35" w:rsidRPr="00045543" w:rsidRDefault="003A1C35" w:rsidP="00BC1A82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 w:rsidRPr="00045543">
              <w:rPr>
                <w:rFonts w:asciiTheme="majorHAnsi" w:hAnsiTheme="majorHAnsi"/>
                <w:b/>
                <w:lang w:val="lt-LT"/>
              </w:rPr>
              <w:t>Studijų metodai</w:t>
            </w:r>
          </w:p>
        </w:tc>
        <w:tc>
          <w:tcPr>
            <w:tcW w:w="6662" w:type="dxa"/>
          </w:tcPr>
          <w:p w14:paraId="0B1F85FE" w14:textId="77777777" w:rsidR="003A1C35" w:rsidRPr="00262043" w:rsidRDefault="00165939" w:rsidP="00262043">
            <w:pPr>
              <w:spacing w:before="120" w:after="120"/>
              <w:rPr>
                <w:rFonts w:ascii="Times New Roman" w:hAnsi="Times New Roman" w:cs="Times New Roman"/>
                <w:lang w:val="lt-LT"/>
              </w:rPr>
            </w:pPr>
            <w:r w:rsidRPr="00262043">
              <w:rPr>
                <w:rFonts w:ascii="Times New Roman" w:hAnsi="Times New Roman" w:cs="Times New Roman"/>
                <w:lang w:val="lt-LT"/>
              </w:rPr>
              <w:t>Paskaitos, seminarai, grupės diskusijos, pristatymų rengimas</w:t>
            </w:r>
          </w:p>
        </w:tc>
      </w:tr>
      <w:tr w:rsidR="003A1C35" w:rsidRPr="004D6ED3" w14:paraId="17F91E7B" w14:textId="77777777" w:rsidTr="00045543">
        <w:tc>
          <w:tcPr>
            <w:tcW w:w="2660" w:type="dxa"/>
            <w:shd w:val="clear" w:color="auto" w:fill="F2F2F2" w:themeFill="background1" w:themeFillShade="F2"/>
          </w:tcPr>
          <w:p w14:paraId="43122930" w14:textId="77777777" w:rsidR="003A1C35" w:rsidRPr="00045543" w:rsidRDefault="003A1C35" w:rsidP="00BC1A82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 w:rsidRPr="00045543">
              <w:rPr>
                <w:rFonts w:asciiTheme="majorHAnsi" w:hAnsiTheme="majorHAnsi"/>
                <w:b/>
                <w:lang w:val="lt-LT"/>
              </w:rPr>
              <w:t>Atsiskaitymo formos</w:t>
            </w:r>
          </w:p>
        </w:tc>
        <w:tc>
          <w:tcPr>
            <w:tcW w:w="6662" w:type="dxa"/>
          </w:tcPr>
          <w:p w14:paraId="2AC2EA35" w14:textId="77777777" w:rsidR="003A1C35" w:rsidRDefault="004D6ED3" w:rsidP="004D6ED3">
            <w:pPr>
              <w:spacing w:before="120" w:after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Seminaruose: užduotys raštu, aptarimai ir diskusijos, pristatymai</w:t>
            </w:r>
          </w:p>
          <w:p w14:paraId="129FCFF1" w14:textId="77777777" w:rsidR="004D6ED3" w:rsidRPr="00045543" w:rsidRDefault="004D6ED3" w:rsidP="004D6ED3">
            <w:pPr>
              <w:spacing w:before="120" w:after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Egzaminas</w:t>
            </w:r>
          </w:p>
        </w:tc>
      </w:tr>
    </w:tbl>
    <w:p w14:paraId="4B130490" w14:textId="77777777" w:rsidR="003A1C35" w:rsidRDefault="003A1C35">
      <w:pPr>
        <w:rPr>
          <w:rFonts w:asciiTheme="majorHAnsi" w:hAnsiTheme="majorHAnsi"/>
          <w:lang w:val="lt-LT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49"/>
        <w:gridCol w:w="887"/>
        <w:gridCol w:w="5386"/>
      </w:tblGrid>
      <w:tr w:rsidR="00FA460E" w14:paraId="0B2F5F51" w14:textId="77777777" w:rsidTr="00FA460E">
        <w:tc>
          <w:tcPr>
            <w:tcW w:w="9322" w:type="dxa"/>
            <w:gridSpan w:val="3"/>
            <w:shd w:val="clear" w:color="auto" w:fill="D9D9D9" w:themeFill="background1" w:themeFillShade="D9"/>
          </w:tcPr>
          <w:p w14:paraId="33A2E4C6" w14:textId="77777777" w:rsidR="00FA460E" w:rsidRPr="00FA460E" w:rsidRDefault="00FA460E" w:rsidP="00FA460E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 w:rsidRPr="00FA460E">
              <w:rPr>
                <w:rFonts w:asciiTheme="majorHAnsi" w:hAnsiTheme="majorHAnsi"/>
                <w:b/>
                <w:lang w:val="lt-LT"/>
              </w:rPr>
              <w:lastRenderedPageBreak/>
              <w:t>Vertinimo strategija</w:t>
            </w:r>
          </w:p>
        </w:tc>
      </w:tr>
      <w:tr w:rsidR="00FA460E" w:rsidRPr="00045543" w14:paraId="4CB91CD6" w14:textId="77777777" w:rsidTr="00FA460E">
        <w:tc>
          <w:tcPr>
            <w:tcW w:w="3049" w:type="dxa"/>
            <w:shd w:val="clear" w:color="auto" w:fill="F2F2F2" w:themeFill="background1" w:themeFillShade="F2"/>
          </w:tcPr>
          <w:p w14:paraId="336862AB" w14:textId="77777777" w:rsidR="00FA460E" w:rsidRPr="00045543" w:rsidRDefault="00FA460E" w:rsidP="00FA460E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045543">
              <w:rPr>
                <w:rFonts w:asciiTheme="majorHAnsi" w:hAnsiTheme="majorHAnsi"/>
                <w:sz w:val="20"/>
                <w:szCs w:val="20"/>
                <w:lang w:val="lt-LT"/>
              </w:rPr>
              <w:t>Atsiskaitymas/ įvertinimas</w:t>
            </w:r>
          </w:p>
        </w:tc>
        <w:tc>
          <w:tcPr>
            <w:tcW w:w="887" w:type="dxa"/>
            <w:shd w:val="clear" w:color="auto" w:fill="F2F2F2" w:themeFill="background1" w:themeFillShade="F2"/>
          </w:tcPr>
          <w:p w14:paraId="469E1575" w14:textId="77777777" w:rsidR="00FA460E" w:rsidRPr="00045543" w:rsidRDefault="00FA460E" w:rsidP="00FA460E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045543">
              <w:rPr>
                <w:rFonts w:asciiTheme="majorHAnsi" w:hAnsiTheme="majorHAnsi"/>
                <w:sz w:val="20"/>
                <w:szCs w:val="20"/>
                <w:lang w:val="lt-LT"/>
              </w:rPr>
              <w:t>Svoris, proc.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14:paraId="39AA1374" w14:textId="77777777" w:rsidR="00FA460E" w:rsidRPr="00045543" w:rsidRDefault="00FA460E" w:rsidP="00FA460E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045543">
              <w:rPr>
                <w:rFonts w:asciiTheme="majorHAnsi" w:hAnsiTheme="majorHAnsi"/>
                <w:sz w:val="20"/>
                <w:szCs w:val="20"/>
                <w:lang w:val="lt-LT"/>
              </w:rPr>
              <w:t>Vertinimo kriterijai</w:t>
            </w:r>
          </w:p>
        </w:tc>
      </w:tr>
      <w:tr w:rsidR="00FA460E" w14:paraId="73860B21" w14:textId="77777777" w:rsidTr="00FA460E">
        <w:tc>
          <w:tcPr>
            <w:tcW w:w="3049" w:type="dxa"/>
          </w:tcPr>
          <w:p w14:paraId="74941375" w14:textId="77777777" w:rsidR="00FA460E" w:rsidRPr="008C7767" w:rsidRDefault="00FA460E" w:rsidP="00045543">
            <w:pPr>
              <w:spacing w:before="120" w:after="120"/>
              <w:rPr>
                <w:rFonts w:ascii="Times New Roman" w:hAnsi="Times New Roman" w:cs="Times New Roman"/>
                <w:lang w:val="lt-LT"/>
              </w:rPr>
            </w:pPr>
            <w:r w:rsidRPr="008C7767">
              <w:rPr>
                <w:rFonts w:ascii="Times New Roman" w:hAnsi="Times New Roman" w:cs="Times New Roman"/>
                <w:lang w:val="lt-LT"/>
              </w:rPr>
              <w:t>Darbas seminaruose</w:t>
            </w:r>
          </w:p>
        </w:tc>
        <w:tc>
          <w:tcPr>
            <w:tcW w:w="887" w:type="dxa"/>
          </w:tcPr>
          <w:p w14:paraId="6FBB67E9" w14:textId="77777777" w:rsidR="00FA460E" w:rsidRPr="008C7767" w:rsidRDefault="008C7767" w:rsidP="00045543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767">
              <w:rPr>
                <w:rFonts w:ascii="Times New Roman" w:hAnsi="Times New Roman" w:cs="Times New Roman"/>
                <w:lang w:val="lt-LT"/>
              </w:rPr>
              <w:t>60</w:t>
            </w:r>
          </w:p>
        </w:tc>
        <w:tc>
          <w:tcPr>
            <w:tcW w:w="5386" w:type="dxa"/>
          </w:tcPr>
          <w:p w14:paraId="038E51F4" w14:textId="77777777" w:rsidR="00CC7303" w:rsidRPr="002F1C45" w:rsidRDefault="00CC7303" w:rsidP="000455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lt-LT"/>
              </w:rPr>
              <w:t>Užduočių atlikimo kokybė</w:t>
            </w:r>
            <w:r w:rsidR="002F1C45">
              <w:rPr>
                <w:rFonts w:ascii="Times New Roman" w:hAnsi="Times New Roman" w:cs="Times New Roman"/>
                <w:lang w:val="lt-LT"/>
              </w:rPr>
              <w:t xml:space="preserve"> – 30</w:t>
            </w:r>
            <w:r w:rsidR="002F1C45">
              <w:rPr>
                <w:rFonts w:ascii="Times New Roman" w:hAnsi="Times New Roman" w:cs="Times New Roman"/>
                <w:lang w:val="en-US"/>
              </w:rPr>
              <w:t>%</w:t>
            </w:r>
          </w:p>
          <w:p w14:paraId="05EABE4F" w14:textId="77777777" w:rsidR="002F1C45" w:rsidRDefault="002F1C45" w:rsidP="0004554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Užduočių pristatymo kokybė – 10%</w:t>
            </w:r>
          </w:p>
          <w:p w14:paraId="199386D0" w14:textId="77777777" w:rsidR="002F1C45" w:rsidRDefault="002F1C45" w:rsidP="0004554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Kūrybiškumas – 10%</w:t>
            </w:r>
          </w:p>
          <w:p w14:paraId="4BA7902F" w14:textId="77777777" w:rsidR="00CC7303" w:rsidRPr="00D8513D" w:rsidRDefault="00CC7303" w:rsidP="000455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lt-LT"/>
              </w:rPr>
              <w:t>Dalyvavimas diskusijose</w:t>
            </w:r>
            <w:r w:rsidR="002F1C45">
              <w:rPr>
                <w:rFonts w:ascii="Times New Roman" w:hAnsi="Times New Roman" w:cs="Times New Roman"/>
                <w:lang w:val="lt-LT"/>
              </w:rPr>
              <w:t xml:space="preserve"> – 10%</w:t>
            </w:r>
          </w:p>
          <w:p w14:paraId="765344DF" w14:textId="77777777" w:rsidR="00CC7303" w:rsidRPr="008C7767" w:rsidRDefault="00CC7303" w:rsidP="00045543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FA460E" w:rsidRPr="00045543" w14:paraId="2AFDA555" w14:textId="77777777" w:rsidTr="00FA460E">
        <w:tc>
          <w:tcPr>
            <w:tcW w:w="3049" w:type="dxa"/>
          </w:tcPr>
          <w:p w14:paraId="7865F562" w14:textId="77777777" w:rsidR="00FA460E" w:rsidRPr="008C7767" w:rsidRDefault="00FA460E" w:rsidP="00045543">
            <w:pPr>
              <w:spacing w:before="120" w:after="120"/>
              <w:rPr>
                <w:rFonts w:ascii="Times New Roman" w:hAnsi="Times New Roman" w:cs="Times New Roman"/>
                <w:lang w:val="lt-LT"/>
              </w:rPr>
            </w:pPr>
            <w:r w:rsidRPr="008C7767">
              <w:rPr>
                <w:rFonts w:ascii="Times New Roman" w:hAnsi="Times New Roman" w:cs="Times New Roman"/>
                <w:lang w:val="lt-LT"/>
              </w:rPr>
              <w:t>Egzaminas</w:t>
            </w:r>
          </w:p>
        </w:tc>
        <w:tc>
          <w:tcPr>
            <w:tcW w:w="887" w:type="dxa"/>
          </w:tcPr>
          <w:p w14:paraId="7A83AF4D" w14:textId="77777777" w:rsidR="00FA460E" w:rsidRPr="008C7767" w:rsidRDefault="00FA460E" w:rsidP="00045543">
            <w:pPr>
              <w:spacing w:before="120" w:after="12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8C7767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5386" w:type="dxa"/>
          </w:tcPr>
          <w:p w14:paraId="28E9232C" w14:textId="77777777" w:rsidR="00CC7303" w:rsidRDefault="002F1C45" w:rsidP="007025D2">
            <w:pPr>
              <w:spacing w:before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Pristatymo parengimo kokybė – </w:t>
            </w:r>
            <w:r w:rsidR="007025D2">
              <w:rPr>
                <w:rFonts w:ascii="Times New Roman" w:hAnsi="Times New Roman" w:cs="Times New Roman"/>
                <w:lang w:val="lt-LT"/>
              </w:rPr>
              <w:t>3</w:t>
            </w:r>
            <w:r>
              <w:rPr>
                <w:rFonts w:ascii="Times New Roman" w:hAnsi="Times New Roman" w:cs="Times New Roman"/>
                <w:lang w:val="lt-LT"/>
              </w:rPr>
              <w:t>0%</w:t>
            </w:r>
          </w:p>
          <w:p w14:paraId="12F70EC0" w14:textId="77777777" w:rsidR="002F1C45" w:rsidRPr="008C7767" w:rsidRDefault="002F1C45" w:rsidP="007025D2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Dalyvavimas diskusijoje ir kolegų darbų vertinimas – 10%</w:t>
            </w:r>
          </w:p>
        </w:tc>
      </w:tr>
    </w:tbl>
    <w:p w14:paraId="5FBC6F97" w14:textId="77777777" w:rsidR="003A1C35" w:rsidRDefault="003A1C35">
      <w:pPr>
        <w:rPr>
          <w:rFonts w:asciiTheme="majorHAnsi" w:hAnsiTheme="majorHAnsi"/>
          <w:lang w:val="lt-LT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45543" w14:paraId="56C4C38C" w14:textId="77777777" w:rsidTr="00045543">
        <w:tc>
          <w:tcPr>
            <w:tcW w:w="9322" w:type="dxa"/>
            <w:shd w:val="clear" w:color="auto" w:fill="F2F2F2" w:themeFill="background1" w:themeFillShade="F2"/>
          </w:tcPr>
          <w:p w14:paraId="5B11D928" w14:textId="77777777" w:rsidR="00045543" w:rsidRPr="00045543" w:rsidRDefault="00045543" w:rsidP="00BC1A82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>
              <w:rPr>
                <w:rFonts w:asciiTheme="majorHAnsi" w:hAnsiTheme="majorHAnsi"/>
                <w:b/>
                <w:lang w:val="lt-LT"/>
              </w:rPr>
              <w:t>Privaloma literatūra</w:t>
            </w:r>
          </w:p>
        </w:tc>
      </w:tr>
      <w:tr w:rsidR="00045543" w:rsidRPr="008C7767" w14:paraId="6474A953" w14:textId="77777777" w:rsidTr="00045543">
        <w:tc>
          <w:tcPr>
            <w:tcW w:w="9322" w:type="dxa"/>
          </w:tcPr>
          <w:p w14:paraId="558EC0E7" w14:textId="77777777" w:rsidR="00F9644D" w:rsidRPr="007025D2" w:rsidRDefault="00F9644D" w:rsidP="007025D2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Theme="majorHAnsi" w:hAnsiTheme="majorHAnsi"/>
                <w:lang w:val="lt-LT"/>
              </w:rPr>
            </w:pPr>
            <w:r w:rsidRPr="007025D2">
              <w:rPr>
                <w:rFonts w:asciiTheme="majorHAnsi" w:hAnsiTheme="majorHAnsi"/>
                <w:lang w:val="lt-LT"/>
              </w:rPr>
              <w:t>Rienecker L., Jorgensen P.S. Kaip rašyti mokslinį darbą? Aidai, 2003.</w:t>
            </w:r>
          </w:p>
          <w:p w14:paraId="608B3F19" w14:textId="77777777" w:rsidR="00D8513D" w:rsidRPr="007025D2" w:rsidRDefault="00761E79" w:rsidP="007025D2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Theme="majorHAnsi" w:hAnsiTheme="majorHAnsi"/>
                <w:lang w:val="lt-LT"/>
              </w:rPr>
            </w:pPr>
            <w:r w:rsidRPr="007025D2">
              <w:rPr>
                <w:rFonts w:asciiTheme="majorHAnsi" w:hAnsiTheme="majorHAnsi"/>
                <w:lang w:val="lt-LT"/>
              </w:rPr>
              <w:t>Impett</w:t>
            </w:r>
            <w:r w:rsidR="00F9644D" w:rsidRPr="007025D2">
              <w:rPr>
                <w:rFonts w:asciiTheme="majorHAnsi" w:hAnsiTheme="majorHAnsi"/>
                <w:lang w:val="lt-LT"/>
              </w:rPr>
              <w:t xml:space="preserve"> I.</w:t>
            </w:r>
            <w:r w:rsidRPr="007025D2">
              <w:rPr>
                <w:rFonts w:asciiTheme="majorHAnsi" w:hAnsiTheme="majorHAnsi"/>
                <w:lang w:val="lt-LT"/>
              </w:rPr>
              <w:t xml:space="preserve"> (ed.). </w:t>
            </w:r>
            <w:r w:rsidR="00D8513D" w:rsidRPr="007025D2">
              <w:rPr>
                <w:rFonts w:asciiTheme="majorHAnsi" w:hAnsiTheme="majorHAnsi"/>
                <w:lang w:val="lt-LT"/>
              </w:rPr>
              <w:t>Artistic Research in Music: Discipline and Resistance.</w:t>
            </w:r>
            <w:r w:rsidRPr="007025D2">
              <w:rPr>
                <w:rFonts w:asciiTheme="majorHAnsi" w:hAnsiTheme="majorHAnsi"/>
                <w:lang w:val="lt-LT"/>
              </w:rPr>
              <w:t xml:space="preserve"> Orpheus Institute Series, 2017</w:t>
            </w:r>
            <w:r w:rsidR="00F9644D" w:rsidRPr="007025D2">
              <w:rPr>
                <w:rFonts w:asciiTheme="majorHAnsi" w:hAnsiTheme="majorHAnsi"/>
                <w:lang w:val="lt-LT"/>
              </w:rPr>
              <w:t>.</w:t>
            </w:r>
            <w:r w:rsidR="00D8513D" w:rsidRPr="007025D2">
              <w:rPr>
                <w:rFonts w:asciiTheme="majorHAnsi" w:hAnsiTheme="majorHAnsi"/>
                <w:lang w:val="lt-LT"/>
              </w:rPr>
              <w:t xml:space="preserve"> </w:t>
            </w:r>
          </w:p>
          <w:p w14:paraId="59009279" w14:textId="77777777" w:rsidR="00045543" w:rsidRPr="007025D2" w:rsidRDefault="00D8513D" w:rsidP="007025D2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Theme="majorHAnsi" w:hAnsiTheme="majorHAnsi"/>
                <w:lang w:val="lt-LT"/>
              </w:rPr>
            </w:pPr>
            <w:r w:rsidRPr="007025D2">
              <w:rPr>
                <w:rFonts w:asciiTheme="majorHAnsi" w:hAnsiTheme="majorHAnsi"/>
                <w:lang w:val="lt-LT"/>
              </w:rPr>
              <w:t>Cook</w:t>
            </w:r>
            <w:r w:rsidR="00F9644D" w:rsidRPr="007025D2">
              <w:rPr>
                <w:rFonts w:asciiTheme="majorHAnsi" w:hAnsiTheme="majorHAnsi"/>
                <w:lang w:val="lt-LT"/>
              </w:rPr>
              <w:t xml:space="preserve"> N.</w:t>
            </w:r>
            <w:r w:rsidRPr="007025D2">
              <w:rPr>
                <w:rFonts w:asciiTheme="majorHAnsi" w:hAnsiTheme="majorHAnsi"/>
                <w:lang w:val="lt-LT"/>
              </w:rPr>
              <w:t>, Johnson</w:t>
            </w:r>
            <w:r w:rsidR="00F9644D" w:rsidRPr="007025D2">
              <w:rPr>
                <w:rFonts w:asciiTheme="majorHAnsi" w:hAnsiTheme="majorHAnsi"/>
                <w:lang w:val="lt-LT"/>
              </w:rPr>
              <w:t xml:space="preserve"> P., </w:t>
            </w:r>
            <w:r w:rsidRPr="007025D2">
              <w:rPr>
                <w:rFonts w:asciiTheme="majorHAnsi" w:hAnsiTheme="majorHAnsi"/>
                <w:lang w:val="lt-LT"/>
              </w:rPr>
              <w:t xml:space="preserve"> Zender</w:t>
            </w:r>
            <w:r w:rsidR="00F9644D" w:rsidRPr="007025D2">
              <w:rPr>
                <w:rFonts w:asciiTheme="majorHAnsi" w:hAnsiTheme="majorHAnsi"/>
                <w:lang w:val="lt-LT"/>
              </w:rPr>
              <w:t xml:space="preserve"> H.</w:t>
            </w:r>
            <w:r w:rsidRPr="007025D2">
              <w:rPr>
                <w:rFonts w:asciiTheme="majorHAnsi" w:hAnsiTheme="majorHAnsi"/>
                <w:lang w:val="lt-LT"/>
              </w:rPr>
              <w:t>. Theory into Practice. Collected Writings of the Orpheus Institute, 1999</w:t>
            </w:r>
            <w:r w:rsidR="00F9644D" w:rsidRPr="007025D2">
              <w:rPr>
                <w:rFonts w:asciiTheme="majorHAnsi" w:hAnsiTheme="majorHAnsi"/>
                <w:lang w:val="lt-LT"/>
              </w:rPr>
              <w:t>.</w:t>
            </w:r>
          </w:p>
          <w:p w14:paraId="0600177C" w14:textId="77777777" w:rsidR="00D8513D" w:rsidRPr="007025D2" w:rsidRDefault="00D8513D" w:rsidP="007025D2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Theme="majorHAnsi" w:hAnsiTheme="majorHAnsi"/>
                <w:lang w:val="lt-LT"/>
              </w:rPr>
            </w:pPr>
            <w:r w:rsidRPr="007025D2">
              <w:rPr>
                <w:rFonts w:asciiTheme="majorHAnsi" w:hAnsiTheme="majorHAnsi"/>
                <w:lang w:val="lt-LT"/>
              </w:rPr>
              <w:t>Crispin</w:t>
            </w:r>
            <w:r w:rsidR="00F9644D" w:rsidRPr="007025D2">
              <w:rPr>
                <w:rFonts w:asciiTheme="majorHAnsi" w:hAnsiTheme="majorHAnsi"/>
                <w:lang w:val="lt-LT"/>
              </w:rPr>
              <w:t xml:space="preserve"> D.,</w:t>
            </w:r>
            <w:r w:rsidRPr="007025D2">
              <w:rPr>
                <w:rFonts w:asciiTheme="majorHAnsi" w:hAnsiTheme="majorHAnsi"/>
                <w:lang w:val="lt-LT"/>
              </w:rPr>
              <w:t xml:space="preserve"> Gilmore</w:t>
            </w:r>
            <w:r w:rsidR="00F9644D" w:rsidRPr="007025D2">
              <w:rPr>
                <w:rFonts w:asciiTheme="majorHAnsi" w:hAnsiTheme="majorHAnsi"/>
                <w:lang w:val="lt-LT"/>
              </w:rPr>
              <w:t xml:space="preserve"> B.</w:t>
            </w:r>
            <w:r w:rsidRPr="007025D2">
              <w:rPr>
                <w:rFonts w:asciiTheme="majorHAnsi" w:hAnsiTheme="majorHAnsi"/>
                <w:lang w:val="lt-LT"/>
              </w:rPr>
              <w:t xml:space="preserve"> (</w:t>
            </w:r>
            <w:r w:rsidR="00F9644D" w:rsidRPr="007025D2">
              <w:rPr>
                <w:rFonts w:asciiTheme="majorHAnsi" w:hAnsiTheme="majorHAnsi"/>
                <w:lang w:val="lt-LT"/>
              </w:rPr>
              <w:t>sud</w:t>
            </w:r>
            <w:r w:rsidRPr="007025D2">
              <w:rPr>
                <w:rFonts w:asciiTheme="majorHAnsi" w:hAnsiTheme="majorHAnsi"/>
                <w:lang w:val="lt-LT"/>
              </w:rPr>
              <w:t xml:space="preserve">.). Artistic Experimentation in Music. </w:t>
            </w:r>
          </w:p>
          <w:p w14:paraId="4C919643" w14:textId="77777777" w:rsidR="00D8513D" w:rsidRPr="007025D2" w:rsidRDefault="00D8513D" w:rsidP="007025D2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Theme="majorHAnsi" w:hAnsiTheme="majorHAnsi"/>
                <w:lang w:val="lt-LT"/>
              </w:rPr>
            </w:pPr>
            <w:r w:rsidRPr="007025D2">
              <w:rPr>
                <w:rFonts w:asciiTheme="majorHAnsi" w:hAnsiTheme="majorHAnsi"/>
                <w:lang w:val="lt-LT"/>
              </w:rPr>
              <w:t>Orpheus Institute Series, 2014</w:t>
            </w:r>
            <w:r w:rsidR="00F9644D" w:rsidRPr="007025D2">
              <w:rPr>
                <w:rFonts w:asciiTheme="majorHAnsi" w:hAnsiTheme="majorHAnsi"/>
                <w:lang w:val="lt-LT"/>
              </w:rPr>
              <w:t>.</w:t>
            </w:r>
          </w:p>
          <w:p w14:paraId="083E543F" w14:textId="77777777" w:rsidR="00D8513D" w:rsidRPr="007025D2" w:rsidRDefault="00D8513D" w:rsidP="007025D2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Theme="majorHAnsi" w:hAnsiTheme="majorHAnsi"/>
                <w:lang w:val="lt-LT"/>
              </w:rPr>
            </w:pPr>
            <w:r w:rsidRPr="007025D2">
              <w:rPr>
                <w:rFonts w:asciiTheme="majorHAnsi" w:hAnsiTheme="majorHAnsi"/>
                <w:lang w:val="lt-LT"/>
              </w:rPr>
              <w:t>Coessens</w:t>
            </w:r>
            <w:r w:rsidR="00F9644D" w:rsidRPr="007025D2">
              <w:rPr>
                <w:rFonts w:asciiTheme="majorHAnsi" w:hAnsiTheme="majorHAnsi"/>
                <w:lang w:val="lt-LT"/>
              </w:rPr>
              <w:t xml:space="preserve"> K</w:t>
            </w:r>
            <w:r w:rsidRPr="007025D2">
              <w:rPr>
                <w:rFonts w:asciiTheme="majorHAnsi" w:hAnsiTheme="majorHAnsi"/>
                <w:lang w:val="lt-LT"/>
              </w:rPr>
              <w:t>, Douglas</w:t>
            </w:r>
            <w:r w:rsidR="00F9644D" w:rsidRPr="007025D2">
              <w:rPr>
                <w:rFonts w:asciiTheme="majorHAnsi" w:hAnsiTheme="majorHAnsi"/>
                <w:lang w:val="lt-LT"/>
              </w:rPr>
              <w:t xml:space="preserve"> A.,</w:t>
            </w:r>
            <w:r w:rsidRPr="007025D2">
              <w:rPr>
                <w:rFonts w:asciiTheme="majorHAnsi" w:hAnsiTheme="majorHAnsi"/>
                <w:lang w:val="lt-LT"/>
              </w:rPr>
              <w:t xml:space="preserve"> Crispin</w:t>
            </w:r>
            <w:r w:rsidR="00F9644D" w:rsidRPr="007025D2">
              <w:rPr>
                <w:rFonts w:asciiTheme="majorHAnsi" w:hAnsiTheme="majorHAnsi"/>
                <w:lang w:val="lt-LT"/>
              </w:rPr>
              <w:t xml:space="preserve"> D.</w:t>
            </w:r>
            <w:r w:rsidRPr="007025D2">
              <w:rPr>
                <w:rFonts w:asciiTheme="majorHAnsi" w:hAnsiTheme="majorHAnsi"/>
                <w:lang w:val="lt-LT"/>
              </w:rPr>
              <w:t xml:space="preserve"> The Artistic Turn. </w:t>
            </w:r>
            <w:r w:rsidR="00F9644D" w:rsidRPr="007025D2">
              <w:rPr>
                <w:rFonts w:asciiTheme="majorHAnsi" w:hAnsiTheme="majorHAnsi"/>
                <w:lang w:val="lt-LT"/>
              </w:rPr>
              <w:t xml:space="preserve">Orpheus Institute Series, </w:t>
            </w:r>
            <w:r w:rsidRPr="007025D2">
              <w:rPr>
                <w:rFonts w:asciiTheme="majorHAnsi" w:hAnsiTheme="majorHAnsi"/>
                <w:lang w:val="lt-LT"/>
              </w:rPr>
              <w:t>2009</w:t>
            </w:r>
            <w:r w:rsidR="00F9644D" w:rsidRPr="007025D2">
              <w:rPr>
                <w:rFonts w:asciiTheme="majorHAnsi" w:hAnsiTheme="majorHAnsi"/>
                <w:lang w:val="lt-LT"/>
              </w:rPr>
              <w:t>.</w:t>
            </w:r>
          </w:p>
          <w:p w14:paraId="5A32A870" w14:textId="77777777" w:rsidR="00D8513D" w:rsidRDefault="00D8513D" w:rsidP="00D8513D">
            <w:pPr>
              <w:spacing w:before="120" w:after="120"/>
              <w:contextualSpacing/>
              <w:rPr>
                <w:rFonts w:asciiTheme="majorHAnsi" w:hAnsiTheme="majorHAnsi"/>
                <w:lang w:val="lt-LT"/>
              </w:rPr>
            </w:pPr>
          </w:p>
        </w:tc>
      </w:tr>
      <w:tr w:rsidR="00045543" w14:paraId="50A67D9E" w14:textId="77777777" w:rsidTr="00045543">
        <w:tc>
          <w:tcPr>
            <w:tcW w:w="9322" w:type="dxa"/>
            <w:shd w:val="clear" w:color="auto" w:fill="F2F2F2" w:themeFill="background1" w:themeFillShade="F2"/>
          </w:tcPr>
          <w:p w14:paraId="6A90D0C8" w14:textId="77777777" w:rsidR="00045543" w:rsidRPr="00045543" w:rsidRDefault="00045543" w:rsidP="00BC1A82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 w:rsidRPr="00045543">
              <w:rPr>
                <w:rFonts w:asciiTheme="majorHAnsi" w:hAnsiTheme="majorHAnsi"/>
                <w:b/>
                <w:lang w:val="lt-LT"/>
              </w:rPr>
              <w:t>Papildoma literatūra</w:t>
            </w:r>
          </w:p>
        </w:tc>
      </w:tr>
      <w:tr w:rsidR="00045543" w14:paraId="409C5CF5" w14:textId="77777777" w:rsidTr="00045543">
        <w:tc>
          <w:tcPr>
            <w:tcW w:w="9322" w:type="dxa"/>
          </w:tcPr>
          <w:p w14:paraId="1E2E04FF" w14:textId="77777777" w:rsidR="00045543" w:rsidRPr="007025D2" w:rsidRDefault="00F9644D" w:rsidP="007025D2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Theme="majorHAnsi" w:hAnsiTheme="majorHAnsi"/>
                <w:lang w:val="lt-LT"/>
              </w:rPr>
            </w:pPr>
            <w:r w:rsidRPr="007025D2">
              <w:rPr>
                <w:rFonts w:asciiTheme="majorHAnsi" w:hAnsiTheme="majorHAnsi"/>
                <w:lang w:val="lt-LT"/>
              </w:rPr>
              <w:t>Žurnalas „Ars et praxis“, LMTA, 2013-</w:t>
            </w:r>
          </w:p>
          <w:p w14:paraId="66826202" w14:textId="77777777" w:rsidR="00F9644D" w:rsidRPr="007025D2" w:rsidRDefault="00F9644D" w:rsidP="007025D2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Theme="majorHAnsi" w:hAnsiTheme="majorHAnsi"/>
                <w:lang w:val="lt-LT"/>
              </w:rPr>
            </w:pPr>
            <w:r w:rsidRPr="007025D2">
              <w:rPr>
                <w:rFonts w:asciiTheme="majorHAnsi" w:hAnsiTheme="majorHAnsi"/>
                <w:lang w:val="lt-LT"/>
              </w:rPr>
              <w:t xml:space="preserve">Michelkevičius (sud.). Meninis tyrimas: teorija ir praktika. VDA, 2016. </w:t>
            </w:r>
          </w:p>
          <w:p w14:paraId="32F6C97C" w14:textId="77777777" w:rsidR="00BC1A82" w:rsidRDefault="00BC1A82" w:rsidP="00045543">
            <w:pPr>
              <w:spacing w:before="120" w:after="120"/>
              <w:contextualSpacing/>
              <w:rPr>
                <w:rFonts w:asciiTheme="majorHAnsi" w:hAnsiTheme="majorHAnsi"/>
                <w:lang w:val="lt-LT"/>
              </w:rPr>
            </w:pPr>
          </w:p>
        </w:tc>
      </w:tr>
    </w:tbl>
    <w:p w14:paraId="276C8E90" w14:textId="30911E39" w:rsidR="00CC4254" w:rsidRPr="00115961" w:rsidRDefault="00115961" w:rsidP="00BC1A82">
      <w:pPr>
        <w:jc w:val="right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lt-LT"/>
        </w:rPr>
        <w:tab/>
      </w:r>
    </w:p>
    <w:p w14:paraId="0AA5F8FE" w14:textId="77777777" w:rsidR="00CC4254" w:rsidRDefault="00CC4254">
      <w:pPr>
        <w:rPr>
          <w:rFonts w:asciiTheme="majorHAnsi" w:hAnsiTheme="majorHAnsi"/>
          <w:lang w:val="lt-LT"/>
        </w:rPr>
      </w:pPr>
    </w:p>
    <w:p w14:paraId="1C4DD11D" w14:textId="77777777" w:rsidR="00CC4254" w:rsidRDefault="00CC4254">
      <w:pPr>
        <w:rPr>
          <w:rFonts w:asciiTheme="majorHAnsi" w:hAnsiTheme="majorHAnsi"/>
          <w:lang w:val="lt-LT"/>
        </w:rPr>
      </w:pPr>
    </w:p>
    <w:p w14:paraId="705BF8C9" w14:textId="77777777" w:rsidR="00CC4254" w:rsidRDefault="00CC4254">
      <w:pPr>
        <w:rPr>
          <w:rFonts w:asciiTheme="majorHAnsi" w:hAnsiTheme="majorHAnsi"/>
          <w:lang w:val="lt-LT"/>
        </w:rPr>
      </w:pPr>
      <w:bookmarkStart w:id="0" w:name="_GoBack"/>
      <w:bookmarkEnd w:id="0"/>
    </w:p>
    <w:p w14:paraId="13641A27" w14:textId="77777777" w:rsidR="00AA71DB" w:rsidRDefault="00AA71DB">
      <w:pPr>
        <w:rPr>
          <w:rFonts w:asciiTheme="majorHAnsi" w:hAnsiTheme="majorHAnsi"/>
          <w:lang w:val="lt-LT"/>
        </w:rPr>
      </w:pPr>
    </w:p>
    <w:p w14:paraId="024C09A3" w14:textId="77777777" w:rsidR="002642D9" w:rsidRPr="002642D9" w:rsidRDefault="002642D9">
      <w:pPr>
        <w:rPr>
          <w:rFonts w:asciiTheme="majorHAnsi" w:hAnsiTheme="majorHAnsi"/>
          <w:lang w:val="lt-LT"/>
        </w:rPr>
      </w:pPr>
    </w:p>
    <w:sectPr w:rsidR="002642D9" w:rsidRPr="002642D9" w:rsidSect="00AA71D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379B"/>
    <w:multiLevelType w:val="hybridMultilevel"/>
    <w:tmpl w:val="FDD43C68"/>
    <w:lvl w:ilvl="0" w:tplc="CEB20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801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A0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AE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54A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6C4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8ED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C2A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38D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6F5317"/>
    <w:multiLevelType w:val="hybridMultilevel"/>
    <w:tmpl w:val="4368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B62CC"/>
    <w:multiLevelType w:val="hybridMultilevel"/>
    <w:tmpl w:val="C2AA9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C57C6"/>
    <w:multiLevelType w:val="hybridMultilevel"/>
    <w:tmpl w:val="B6A2E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A3A74"/>
    <w:multiLevelType w:val="hybridMultilevel"/>
    <w:tmpl w:val="9550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97D19"/>
    <w:multiLevelType w:val="hybridMultilevel"/>
    <w:tmpl w:val="0F1AD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21C2E"/>
    <w:multiLevelType w:val="hybridMultilevel"/>
    <w:tmpl w:val="AF3A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C68C4"/>
    <w:multiLevelType w:val="hybridMultilevel"/>
    <w:tmpl w:val="1D42C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2D9"/>
    <w:rsid w:val="00002968"/>
    <w:rsid w:val="00002DD7"/>
    <w:rsid w:val="00045543"/>
    <w:rsid w:val="0009190B"/>
    <w:rsid w:val="00094006"/>
    <w:rsid w:val="000F2DB1"/>
    <w:rsid w:val="00115961"/>
    <w:rsid w:val="00165939"/>
    <w:rsid w:val="00255E8D"/>
    <w:rsid w:val="00262043"/>
    <w:rsid w:val="002642D9"/>
    <w:rsid w:val="002E247B"/>
    <w:rsid w:val="002F1C45"/>
    <w:rsid w:val="00304514"/>
    <w:rsid w:val="00352BAF"/>
    <w:rsid w:val="003613F7"/>
    <w:rsid w:val="003A1C35"/>
    <w:rsid w:val="004D6ED3"/>
    <w:rsid w:val="00617BDF"/>
    <w:rsid w:val="006467A1"/>
    <w:rsid w:val="006B083A"/>
    <w:rsid w:val="007025D2"/>
    <w:rsid w:val="00715B21"/>
    <w:rsid w:val="00761E79"/>
    <w:rsid w:val="008A2AD7"/>
    <w:rsid w:val="008C7767"/>
    <w:rsid w:val="009A03AE"/>
    <w:rsid w:val="00A164E1"/>
    <w:rsid w:val="00A227F5"/>
    <w:rsid w:val="00A74EA0"/>
    <w:rsid w:val="00AA71DB"/>
    <w:rsid w:val="00B35061"/>
    <w:rsid w:val="00BC1A82"/>
    <w:rsid w:val="00C00103"/>
    <w:rsid w:val="00CC4254"/>
    <w:rsid w:val="00CC7303"/>
    <w:rsid w:val="00D06D40"/>
    <w:rsid w:val="00D8513D"/>
    <w:rsid w:val="00D90425"/>
    <w:rsid w:val="00E55543"/>
    <w:rsid w:val="00EE04E5"/>
    <w:rsid w:val="00F0334E"/>
    <w:rsid w:val="00F9644D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4DEC61BA"/>
  <w15:docId w15:val="{09A4BDED-2314-4D1E-A92C-B0004E90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04E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EE04E5"/>
  </w:style>
  <w:style w:type="character" w:styleId="Hyperlink">
    <w:name w:val="Hyperlink"/>
    <w:basedOn w:val="DefaultParagraphFont"/>
    <w:uiPriority w:val="99"/>
    <w:unhideWhenUsed/>
    <w:rsid w:val="006467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5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5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5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9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10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6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3090</Words>
  <Characters>1762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Žukienė</dc:creator>
  <cp:lastModifiedBy>Daiva Buivydienė</cp:lastModifiedBy>
  <cp:revision>4</cp:revision>
  <dcterms:created xsi:type="dcterms:W3CDTF">2018-11-27T12:42:00Z</dcterms:created>
  <dcterms:modified xsi:type="dcterms:W3CDTF">2019-05-31T13:03:00Z</dcterms:modified>
</cp:coreProperties>
</file>