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Borders>
          <w:bottom w:val="single" w:sz="6" w:space="0" w:color="E1E1E1"/>
        </w:tblBorders>
        <w:shd w:val="clear" w:color="auto" w:fill="FFFFFF"/>
        <w:tblCellMar>
          <w:top w:w="15" w:type="dxa"/>
          <w:left w:w="15" w:type="dxa"/>
          <w:bottom w:w="15" w:type="dxa"/>
          <w:right w:w="15" w:type="dxa"/>
        </w:tblCellMar>
        <w:tblLook w:val="04A0" w:firstRow="1" w:lastRow="0" w:firstColumn="1" w:lastColumn="0" w:noHBand="0" w:noVBand="1"/>
      </w:tblPr>
      <w:tblGrid>
        <w:gridCol w:w="9639"/>
      </w:tblGrid>
      <w:tr w:rsidR="0052646A" w:rsidRPr="0052646A" w14:paraId="4A01D2EF" w14:textId="77777777" w:rsidTr="0052646A">
        <w:tc>
          <w:tcPr>
            <w:tcW w:w="9639" w:type="dxa"/>
            <w:tcBorders>
              <w:top w:val="nil"/>
              <w:left w:val="nil"/>
              <w:bottom w:val="single" w:sz="6" w:space="0" w:color="E1E1E1"/>
              <w:right w:val="nil"/>
            </w:tcBorders>
            <w:shd w:val="clear" w:color="auto" w:fill="FFFFFF"/>
            <w:tcMar>
              <w:top w:w="195" w:type="dxa"/>
              <w:left w:w="0" w:type="dxa"/>
              <w:bottom w:w="195" w:type="dxa"/>
              <w:right w:w="0" w:type="dxa"/>
            </w:tcMar>
            <w:vAlign w:val="center"/>
            <w:hideMark/>
          </w:tcPr>
          <w:p w14:paraId="7038B197" w14:textId="77777777" w:rsidR="0052646A" w:rsidRPr="0052646A" w:rsidRDefault="0052646A" w:rsidP="0052646A">
            <w:pPr>
              <w:spacing w:after="150" w:line="240" w:lineRule="auto"/>
              <w:jc w:val="both"/>
              <w:rPr>
                <w:rFonts w:ascii="Times New Roman" w:eastAsia="Times New Roman" w:hAnsi="Times New Roman" w:cs="Times New Roman"/>
                <w:color w:val="383F47"/>
                <w:sz w:val="24"/>
                <w:szCs w:val="24"/>
                <w:lang w:eastAsia="lt-LT"/>
              </w:rPr>
            </w:pPr>
            <w:r w:rsidRPr="0052646A">
              <w:rPr>
                <w:rFonts w:ascii="Times New Roman" w:eastAsia="Times New Roman" w:hAnsi="Times New Roman" w:cs="Times New Roman"/>
                <w:color w:val="383F47"/>
                <w:sz w:val="24"/>
                <w:szCs w:val="24"/>
                <w:lang w:eastAsia="lt-LT"/>
              </w:rPr>
              <w:t>Studijų programą sudaro privalomi studijų dalykai, kuriuos skiria Komitetas ir laisvai pasirenkami Menotyros mokslo krypties ar šakų ir gretimų mokslo krypčių doktorantūros studijų dalykai. Doktorantas iš doktorantūros studijų programos turi išklausyti privalomus, Komiteto nustatytus studijų dalykus. Kitus studijų dalykus doktorantas, suderinęs su Vadovu, atsižvelgiant į individualius mokslinių tyrimų poreikius, pasirenka iš Menotyros mokslo krypties Komiteto sudaryto pasirenkamų dalykų sąrašo. </w:t>
            </w:r>
          </w:p>
        </w:tc>
      </w:tr>
      <w:tr w:rsidR="0052646A" w:rsidRPr="0052646A" w14:paraId="56BBAD1A" w14:textId="77777777" w:rsidTr="0052646A">
        <w:tc>
          <w:tcPr>
            <w:tcW w:w="9639" w:type="dxa"/>
            <w:tcBorders>
              <w:top w:val="nil"/>
              <w:left w:val="nil"/>
              <w:bottom w:val="single" w:sz="6" w:space="0" w:color="E1E1E1"/>
              <w:right w:val="nil"/>
            </w:tcBorders>
            <w:shd w:val="clear" w:color="auto" w:fill="FFFFFF"/>
            <w:tcMar>
              <w:top w:w="195" w:type="dxa"/>
              <w:left w:w="0" w:type="dxa"/>
              <w:bottom w:w="195" w:type="dxa"/>
              <w:right w:w="0" w:type="dxa"/>
            </w:tcMar>
            <w:vAlign w:val="center"/>
            <w:hideMark/>
          </w:tcPr>
          <w:p w14:paraId="4305F603" w14:textId="77777777" w:rsidR="0052646A" w:rsidRPr="0052646A" w:rsidRDefault="0052646A" w:rsidP="0052646A">
            <w:pPr>
              <w:spacing w:after="0" w:line="240" w:lineRule="auto"/>
              <w:jc w:val="both"/>
              <w:rPr>
                <w:rFonts w:ascii="Times New Roman" w:eastAsia="Times New Roman" w:hAnsi="Times New Roman" w:cs="Times New Roman"/>
                <w:color w:val="383F47"/>
                <w:sz w:val="24"/>
                <w:szCs w:val="24"/>
                <w:lang w:eastAsia="lt-LT"/>
              </w:rPr>
            </w:pPr>
            <w:r w:rsidRPr="0052646A">
              <w:rPr>
                <w:rFonts w:ascii="Times New Roman" w:eastAsia="Times New Roman" w:hAnsi="Times New Roman" w:cs="Times New Roman"/>
                <w:color w:val="383F47"/>
                <w:sz w:val="24"/>
                <w:szCs w:val="24"/>
                <w:lang w:eastAsia="lt-LT"/>
              </w:rPr>
              <w:t>Doktorantams visus egzaminus privalu išlaikyti per pirmuosius dvejus doktorantūros studijų metus.</w:t>
            </w:r>
          </w:p>
        </w:tc>
      </w:tr>
      <w:tr w:rsidR="0052646A" w:rsidRPr="0052646A" w14:paraId="27EB7692" w14:textId="77777777" w:rsidTr="0052646A">
        <w:tc>
          <w:tcPr>
            <w:tcW w:w="9639" w:type="dxa"/>
            <w:tcBorders>
              <w:top w:val="nil"/>
              <w:left w:val="nil"/>
              <w:bottom w:val="single" w:sz="6" w:space="0" w:color="E1E1E1"/>
              <w:right w:val="nil"/>
            </w:tcBorders>
            <w:shd w:val="clear" w:color="auto" w:fill="FFFFFF"/>
            <w:tcMar>
              <w:top w:w="195" w:type="dxa"/>
              <w:left w:w="0" w:type="dxa"/>
              <w:bottom w:w="195" w:type="dxa"/>
              <w:right w:w="0" w:type="dxa"/>
            </w:tcMar>
            <w:vAlign w:val="center"/>
            <w:hideMark/>
          </w:tcPr>
          <w:p w14:paraId="78EC9A61" w14:textId="77777777" w:rsidR="0052646A" w:rsidRPr="0052646A" w:rsidRDefault="0052646A" w:rsidP="0052646A">
            <w:pPr>
              <w:spacing w:after="0" w:line="240" w:lineRule="auto"/>
              <w:jc w:val="both"/>
              <w:rPr>
                <w:rFonts w:ascii="Times New Roman" w:eastAsia="Times New Roman" w:hAnsi="Times New Roman" w:cs="Times New Roman"/>
                <w:color w:val="383F47"/>
                <w:sz w:val="24"/>
                <w:szCs w:val="24"/>
                <w:lang w:eastAsia="lt-LT"/>
              </w:rPr>
            </w:pPr>
            <w:r w:rsidRPr="0052646A">
              <w:rPr>
                <w:rFonts w:ascii="Times New Roman" w:eastAsia="Times New Roman" w:hAnsi="Times New Roman" w:cs="Times New Roman"/>
                <w:color w:val="383F47"/>
                <w:sz w:val="24"/>
                <w:szCs w:val="24"/>
                <w:lang w:eastAsia="lt-LT"/>
              </w:rPr>
              <w:t>Kiekvienas doktorantas su vadovu parengia doktorantūros studijų programą ir mokslinių tyrimų planą. Kryptingus mokslinius tyrimus būtina pradėti nuo doktorantūros pradžios. Doktorantūros komitete doktorantas du kartus per metus yra atestuojamas, konstatuojama ar vykdomi studijų ar mokslinių tyrimų programos reikalavimai. </w:t>
            </w:r>
          </w:p>
        </w:tc>
      </w:tr>
    </w:tbl>
    <w:p w14:paraId="33B372D7" w14:textId="77777777" w:rsidR="0049491C" w:rsidRDefault="0049491C">
      <w:bookmarkStart w:id="0" w:name="_GoBack"/>
      <w:bookmarkEnd w:id="0"/>
    </w:p>
    <w:sectPr w:rsidR="0049491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1C"/>
    <w:rsid w:val="0049491C"/>
    <w:rsid w:val="005264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E3CB0-BD11-4F27-BBDC-99367A2C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29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Buivydienė</dc:creator>
  <cp:keywords/>
  <dc:description/>
  <cp:lastModifiedBy>Daiva Buivydienė</cp:lastModifiedBy>
  <cp:revision>2</cp:revision>
  <dcterms:created xsi:type="dcterms:W3CDTF">2018-10-19T09:50:00Z</dcterms:created>
  <dcterms:modified xsi:type="dcterms:W3CDTF">2018-10-19T09:50:00Z</dcterms:modified>
</cp:coreProperties>
</file>